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eastAsia="Times New Roman"/>
          <w:sz w:val="20"/>
          <w:szCs w:val="20"/>
          <w:lang w:val="lt-LT"/>
        </w:rPr>
      </w:pPr>
      <w:r>
        <w:rPr>
          <w:rFonts w:eastAsia="Times New Roman"/>
          <w:color w:val="000000"/>
          <w:sz w:val="20"/>
          <w:szCs w:val="20"/>
          <w:lang w:val="lt-LT" w:eastAsia="lt-LT"/>
        </w:rPr>
        <w:t>Pirkimo dokumentų (SPS) 1 priedas</w:t>
      </w:r>
    </w:p>
    <w:tbl>
      <w:tblPr>
        <w:tblStyle w:val="5"/>
        <w:tblW w:w="15023" w:type="dxa"/>
        <w:tblInd w:w="0" w:type="dxa"/>
        <w:tblLayout w:type="fixed"/>
        <w:tblCellMar>
          <w:top w:w="0" w:type="dxa"/>
          <w:left w:w="108" w:type="dxa"/>
          <w:bottom w:w="0" w:type="dxa"/>
          <w:right w:w="108" w:type="dxa"/>
        </w:tblCellMar>
      </w:tblPr>
      <w:tblGrid>
        <w:gridCol w:w="644"/>
        <w:gridCol w:w="24"/>
        <w:gridCol w:w="3591"/>
        <w:gridCol w:w="2369"/>
        <w:gridCol w:w="436"/>
        <w:gridCol w:w="2826"/>
        <w:gridCol w:w="160"/>
        <w:gridCol w:w="954"/>
        <w:gridCol w:w="232"/>
        <w:gridCol w:w="449"/>
        <w:gridCol w:w="236"/>
        <w:gridCol w:w="763"/>
        <w:gridCol w:w="262"/>
        <w:gridCol w:w="741"/>
        <w:gridCol w:w="10"/>
        <w:gridCol w:w="1166"/>
        <w:gridCol w:w="150"/>
        <w:gridCol w:w="10"/>
      </w:tblGrid>
      <w:tr>
        <w:tblPrEx>
          <w:tblCellMar>
            <w:top w:w="0" w:type="dxa"/>
            <w:left w:w="108" w:type="dxa"/>
            <w:bottom w:w="0" w:type="dxa"/>
            <w:right w:w="108" w:type="dxa"/>
          </w:tblCellMar>
        </w:tblPrEx>
        <w:trPr>
          <w:gridAfter w:val="2"/>
          <w:wAfter w:w="160" w:type="dxa"/>
          <w:trHeight w:val="390" w:hRule="atLeast"/>
        </w:trPr>
        <w:tc>
          <w:tcPr>
            <w:tcW w:w="668" w:type="dxa"/>
            <w:gridSpan w:val="2"/>
            <w:tcBorders>
              <w:top w:val="nil"/>
              <w:left w:val="nil"/>
              <w:bottom w:val="nil"/>
              <w:right w:val="nil"/>
            </w:tcBorders>
            <w:shd w:val="clear" w:color="auto" w:fill="auto"/>
            <w:noWrap/>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color w:val="000000"/>
                <w:sz w:val="22"/>
                <w:szCs w:val="20"/>
                <w:lang w:val="lt-LT" w:eastAsia="lt-LT"/>
              </w:rPr>
            </w:pPr>
          </w:p>
        </w:tc>
        <w:tc>
          <w:tcPr>
            <w:tcW w:w="5960" w:type="dxa"/>
            <w:gridSpan w:val="2"/>
            <w:tcBorders>
              <w:top w:val="nil"/>
              <w:left w:val="nil"/>
              <w:bottom w:val="nil"/>
              <w:right w:val="nil"/>
            </w:tcBorders>
            <w:shd w:val="clear" w:color="auto" w:fill="auto"/>
            <w:noWrap/>
          </w:tcPr>
          <w:p>
            <w:pPr>
              <w:pBdr>
                <w:top w:val="none" w:color="auto" w:sz="0" w:space="0"/>
                <w:left w:val="none" w:color="auto" w:sz="0" w:space="0"/>
                <w:bottom w:val="none" w:color="auto" w:sz="0" w:space="0"/>
                <w:right w:val="none" w:color="auto" w:sz="0" w:space="0"/>
                <w:between w:val="none" w:color="auto" w:sz="0" w:space="0"/>
              </w:pBdr>
              <w:rPr>
                <w:rFonts w:eastAsia="Times New Roman"/>
                <w:sz w:val="22"/>
                <w:szCs w:val="20"/>
                <w:lang w:val="lt-LT" w:eastAsia="lt-LT"/>
              </w:rPr>
            </w:pPr>
          </w:p>
        </w:tc>
        <w:tc>
          <w:tcPr>
            <w:tcW w:w="3422" w:type="dxa"/>
            <w:gridSpan w:val="3"/>
            <w:tcBorders>
              <w:top w:val="nil"/>
              <w:left w:val="nil"/>
              <w:bottom w:val="nil"/>
              <w:right w:val="nil"/>
            </w:tcBorders>
            <w:shd w:val="clear" w:color="auto" w:fill="auto"/>
            <w:noWrap/>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0"/>
                <w:lang w:val="lt-LT" w:eastAsia="lt-LT"/>
              </w:rPr>
            </w:pPr>
            <w:r>
              <w:rPr>
                <w:rFonts w:eastAsia="Times New Roman"/>
                <w:b/>
                <w:bCs/>
                <w:color w:val="000000"/>
                <w:sz w:val="22"/>
                <w:szCs w:val="20"/>
                <w:lang w:val="lt-LT" w:eastAsia="lt-LT"/>
              </w:rPr>
              <w:t>TECHNINĖ SPECIFIKACIJA</w:t>
            </w:r>
          </w:p>
        </w:tc>
        <w:tc>
          <w:tcPr>
            <w:tcW w:w="1186" w:type="dxa"/>
            <w:gridSpan w:val="2"/>
            <w:tcBorders>
              <w:top w:val="nil"/>
              <w:left w:val="nil"/>
              <w:bottom w:val="nil"/>
              <w:right w:val="nil"/>
            </w:tcBorders>
            <w:shd w:val="clear" w:color="auto" w:fill="auto"/>
            <w:noWrap/>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0"/>
                <w:lang w:val="lt-LT" w:eastAsia="lt-LT"/>
              </w:rPr>
            </w:pPr>
          </w:p>
        </w:tc>
        <w:tc>
          <w:tcPr>
            <w:tcW w:w="685" w:type="dxa"/>
            <w:gridSpan w:val="2"/>
            <w:tcBorders>
              <w:top w:val="nil"/>
              <w:left w:val="nil"/>
              <w:bottom w:val="nil"/>
              <w:right w:val="nil"/>
            </w:tcBorders>
            <w:shd w:val="clear" w:color="auto" w:fill="auto"/>
            <w:noWrap/>
          </w:tcPr>
          <w:p>
            <w:pPr>
              <w:pBdr>
                <w:top w:val="none" w:color="auto" w:sz="0" w:space="0"/>
                <w:left w:val="none" w:color="auto" w:sz="0" w:space="0"/>
                <w:bottom w:val="none" w:color="auto" w:sz="0" w:space="0"/>
                <w:right w:val="none" w:color="auto" w:sz="0" w:space="0"/>
                <w:between w:val="none" w:color="auto" w:sz="0" w:space="0"/>
              </w:pBdr>
              <w:rPr>
                <w:rFonts w:eastAsia="Times New Roman"/>
                <w:sz w:val="22"/>
                <w:szCs w:val="20"/>
                <w:lang w:val="lt-LT" w:eastAsia="lt-LT"/>
              </w:rPr>
            </w:pPr>
          </w:p>
        </w:tc>
        <w:tc>
          <w:tcPr>
            <w:tcW w:w="1025" w:type="dxa"/>
            <w:gridSpan w:val="2"/>
            <w:tcBorders>
              <w:top w:val="nil"/>
              <w:left w:val="nil"/>
              <w:bottom w:val="nil"/>
              <w:right w:val="nil"/>
            </w:tcBorders>
            <w:shd w:val="clear" w:color="auto" w:fill="auto"/>
            <w:noWrap/>
          </w:tcPr>
          <w:p>
            <w:pPr>
              <w:pBdr>
                <w:top w:val="none" w:color="auto" w:sz="0" w:space="0"/>
                <w:left w:val="none" w:color="auto" w:sz="0" w:space="0"/>
                <w:bottom w:val="none" w:color="auto" w:sz="0" w:space="0"/>
                <w:right w:val="none" w:color="auto" w:sz="0" w:space="0"/>
                <w:between w:val="none" w:color="auto" w:sz="0" w:space="0"/>
              </w:pBdr>
              <w:rPr>
                <w:rFonts w:eastAsia="Times New Roman"/>
                <w:sz w:val="22"/>
                <w:szCs w:val="20"/>
                <w:lang w:val="lt-LT" w:eastAsia="lt-LT"/>
              </w:rPr>
            </w:pPr>
          </w:p>
        </w:tc>
        <w:tc>
          <w:tcPr>
            <w:tcW w:w="1917" w:type="dxa"/>
            <w:gridSpan w:val="3"/>
            <w:tcBorders>
              <w:top w:val="nil"/>
              <w:left w:val="nil"/>
              <w:bottom w:val="nil"/>
              <w:right w:val="nil"/>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sz w:val="22"/>
                <w:szCs w:val="20"/>
                <w:lang w:val="lt-LT" w:eastAsia="lt-LT"/>
              </w:rPr>
            </w:pPr>
          </w:p>
        </w:tc>
      </w:tr>
      <w:tr>
        <w:tblPrEx>
          <w:tblCellMar>
            <w:top w:w="0" w:type="dxa"/>
            <w:left w:w="108" w:type="dxa"/>
            <w:bottom w:w="0" w:type="dxa"/>
            <w:right w:w="108" w:type="dxa"/>
          </w:tblCellMar>
        </w:tblPrEx>
        <w:trPr>
          <w:gridAfter w:val="1"/>
          <w:wAfter w:w="10" w:type="dxa"/>
          <w:trHeight w:val="1265" w:hRule="atLeast"/>
        </w:trPr>
        <w:tc>
          <w:tcPr>
            <w:tcW w:w="644" w:type="dxa"/>
            <w:tcBorders>
              <w:top w:val="single" w:color="auto" w:sz="4" w:space="0"/>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Eil. Nr.</w:t>
            </w:r>
          </w:p>
        </w:tc>
        <w:tc>
          <w:tcPr>
            <w:tcW w:w="3615" w:type="dxa"/>
            <w:gridSpan w:val="2"/>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ind w:right="-71"/>
              <w:jc w:val="center"/>
              <w:rPr>
                <w:rFonts w:eastAsia="Times New Roman"/>
                <w:color w:val="000000"/>
                <w:sz w:val="22"/>
                <w:szCs w:val="22"/>
                <w:lang w:val="lt-LT" w:eastAsia="lt-LT"/>
              </w:rPr>
            </w:pPr>
            <w:r>
              <w:rPr>
                <w:rFonts w:eastAsia="Times New Roman"/>
                <w:color w:val="000000"/>
                <w:sz w:val="22"/>
                <w:szCs w:val="22"/>
                <w:lang w:val="lt-LT" w:eastAsia="lt-LT"/>
              </w:rPr>
              <w:t>Prekės pavadinimas, Charakteristikos</w:t>
            </w:r>
          </w:p>
        </w:tc>
        <w:tc>
          <w:tcPr>
            <w:tcW w:w="2805" w:type="dxa"/>
            <w:gridSpan w:val="2"/>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ind w:left="-143" w:right="-133"/>
              <w:jc w:val="center"/>
              <w:rPr>
                <w:rFonts w:eastAsia="Times New Roman"/>
                <w:color w:val="000000"/>
                <w:sz w:val="22"/>
                <w:szCs w:val="22"/>
                <w:lang w:val="lt-LT" w:eastAsia="lt-LT"/>
              </w:rPr>
            </w:pPr>
            <w:r>
              <w:rPr>
                <w:rFonts w:eastAsia="Times New Roman"/>
                <w:color w:val="000000"/>
                <w:sz w:val="22"/>
                <w:szCs w:val="22"/>
                <w:lang w:val="lt-LT" w:eastAsia="lt-LT"/>
              </w:rPr>
              <w:t>Siūlomų prekių charakteristikos (su pasiūlymu pateikiami dokumentai, įrodantys reikalavimų atitikimą</w:t>
            </w:r>
          </w:p>
        </w:tc>
        <w:tc>
          <w:tcPr>
            <w:tcW w:w="2826" w:type="dxa"/>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ind w:left="-81" w:right="-86"/>
              <w:jc w:val="center"/>
              <w:rPr>
                <w:rFonts w:eastAsia="Times New Roman"/>
                <w:color w:val="000000"/>
                <w:sz w:val="22"/>
                <w:szCs w:val="22"/>
                <w:lang w:val="lt-LT" w:eastAsia="lt-LT"/>
              </w:rPr>
            </w:pPr>
            <w:r>
              <w:rPr>
                <w:rFonts w:eastAsia="Times New Roman"/>
                <w:color w:val="000000"/>
                <w:sz w:val="22"/>
                <w:szCs w:val="22"/>
                <w:lang w:val="lt-LT" w:eastAsia="lt-LT"/>
              </w:rPr>
              <w:t>Gamintojas, modelis, kodas, nuoroda į internetinį psl.</w:t>
            </w:r>
          </w:p>
        </w:tc>
        <w:tc>
          <w:tcPr>
            <w:tcW w:w="1114" w:type="dxa"/>
            <w:gridSpan w:val="2"/>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ind w:left="-128" w:right="-161"/>
              <w:jc w:val="center"/>
              <w:rPr>
                <w:rFonts w:eastAsia="Times New Roman"/>
                <w:color w:val="000000"/>
                <w:sz w:val="22"/>
                <w:szCs w:val="22"/>
                <w:lang w:val="lt-LT" w:eastAsia="lt-LT"/>
              </w:rPr>
            </w:pPr>
            <w:r>
              <w:rPr>
                <w:rFonts w:eastAsia="Times New Roman"/>
                <w:color w:val="000000"/>
                <w:sz w:val="22"/>
                <w:szCs w:val="22"/>
                <w:lang w:val="lt-LT" w:eastAsia="lt-LT"/>
              </w:rPr>
              <w:t>Preliminarus kiekis</w:t>
            </w:r>
          </w:p>
        </w:tc>
        <w:tc>
          <w:tcPr>
            <w:tcW w:w="681" w:type="dxa"/>
            <w:gridSpan w:val="2"/>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Mato vnt</w:t>
            </w:r>
          </w:p>
        </w:tc>
        <w:tc>
          <w:tcPr>
            <w:tcW w:w="999" w:type="dxa"/>
            <w:gridSpan w:val="2"/>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ind w:left="-163"/>
              <w:jc w:val="center"/>
              <w:rPr>
                <w:rFonts w:eastAsia="Times New Roman"/>
                <w:color w:val="000000"/>
                <w:sz w:val="22"/>
                <w:szCs w:val="22"/>
                <w:lang w:val="lt-LT" w:eastAsia="lt-LT"/>
              </w:rPr>
            </w:pPr>
            <w:r>
              <w:rPr>
                <w:rFonts w:eastAsia="Times New Roman"/>
                <w:color w:val="000000"/>
                <w:sz w:val="22"/>
                <w:szCs w:val="22"/>
                <w:lang w:val="lt-LT" w:eastAsia="lt-LT"/>
              </w:rPr>
              <w:t xml:space="preserve">Mato vnt įkainis BE PVM EUR </w:t>
            </w:r>
          </w:p>
        </w:tc>
        <w:tc>
          <w:tcPr>
            <w:tcW w:w="1003" w:type="dxa"/>
            <w:gridSpan w:val="2"/>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ind w:left="-163"/>
              <w:jc w:val="center"/>
              <w:rPr>
                <w:rFonts w:eastAsia="Times New Roman"/>
                <w:color w:val="000000"/>
                <w:sz w:val="22"/>
                <w:szCs w:val="22"/>
                <w:lang w:val="lt-LT" w:eastAsia="lt-LT"/>
              </w:rPr>
            </w:pPr>
            <w:r>
              <w:rPr>
                <w:rFonts w:eastAsia="Times New Roman"/>
                <w:color w:val="000000"/>
                <w:sz w:val="22"/>
                <w:szCs w:val="22"/>
                <w:lang w:val="lt-LT" w:eastAsia="lt-LT"/>
              </w:rPr>
              <w:t xml:space="preserve">Mato vnt įkainis SU PVM EUR </w:t>
            </w:r>
          </w:p>
        </w:tc>
        <w:tc>
          <w:tcPr>
            <w:tcW w:w="1326" w:type="dxa"/>
            <w:gridSpan w:val="3"/>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Bendra preliminari suma EUR BE PVM</w:t>
            </w:r>
          </w:p>
        </w:tc>
      </w:tr>
      <w:tr>
        <w:tblPrEx>
          <w:tblCellMar>
            <w:top w:w="0" w:type="dxa"/>
            <w:left w:w="108" w:type="dxa"/>
            <w:bottom w:w="0" w:type="dxa"/>
            <w:right w:w="108" w:type="dxa"/>
          </w:tblCellMar>
        </w:tblPrEx>
        <w:trPr>
          <w:gridAfter w:val="1"/>
          <w:wAfter w:w="10" w:type="dxa"/>
          <w:trHeight w:val="570"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Portlandcementis. </w:t>
            </w:r>
            <w:r>
              <w:rPr>
                <w:rFonts w:eastAsia="Times New Roman"/>
                <w:bCs/>
                <w:sz w:val="22"/>
                <w:szCs w:val="22"/>
                <w:lang w:val="lt-LT" w:eastAsia="lt-LT"/>
              </w:rPr>
              <w:t>CEM II 42,5 N</w:t>
            </w:r>
            <w:r>
              <w:rPr>
                <w:rFonts w:eastAsia="Times New Roman"/>
                <w:color w:val="000000"/>
                <w:sz w:val="22"/>
                <w:szCs w:val="22"/>
                <w:lang w:val="lt-LT" w:eastAsia="lt-LT"/>
              </w:rPr>
              <w:t xml:space="preserve"> tipo, drėgmei nelaidi pakuotė, pakuotėje 35 kg ±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Cementas Standard STD CEM II/A-LL 42.5N, drėgmei nelaidi pakuotė, pakuotė 35 kg</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en-US" w:eastAsia="lt-LT"/>
              </w:rPr>
            </w:pPr>
            <w:r>
              <w:rPr>
                <w:rFonts w:hint="default" w:eastAsia="Times New Roman"/>
                <w:color w:val="000000"/>
                <w:sz w:val="22"/>
                <w:szCs w:val="22"/>
                <w:lang w:val="en-US" w:eastAsia="lt-LT"/>
              </w:rPr>
              <w:t>Gamintojas AB “Akmenės cementas”</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4200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0,10</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0,12</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420,00</w:t>
            </w:r>
          </w:p>
        </w:tc>
      </w:tr>
      <w:tr>
        <w:tblPrEx>
          <w:tblCellMar>
            <w:top w:w="0" w:type="dxa"/>
            <w:left w:w="108" w:type="dxa"/>
            <w:bottom w:w="0" w:type="dxa"/>
            <w:right w:w="108" w:type="dxa"/>
          </w:tblCellMar>
        </w:tblPrEx>
        <w:trPr>
          <w:gridAfter w:val="1"/>
          <w:wAfter w:w="10" w:type="dxa"/>
          <w:trHeight w:val="854"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2</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Montažinis cementas. </w:t>
            </w:r>
            <w:r>
              <w:rPr>
                <w:rFonts w:eastAsia="Times New Roman"/>
                <w:color w:val="000000"/>
                <w:sz w:val="22"/>
                <w:szCs w:val="22"/>
                <w:lang w:val="lt-LT" w:eastAsia="lt-LT"/>
              </w:rPr>
              <w:t>Metaliniams bei plastmasiniams elementams greitai pritvirtinti prie betono, mūro sienų ar cementinio tinko, pakuotė – maišai po 5kg - 25 kg.±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Montažinis mišinys Ceresit CX 5, skirtas plieniniams ir plastikiniams komponentams greitai įtvirtinti mūre ir betone. Įtrūkimams ar skylėms užtaisyti ir įstatomiems elementams įtvirtinti, pakuotė 25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SimSun" w:cs="Times New Roman"/>
                <w:i w:val="0"/>
                <w:color w:val="000000"/>
                <w:kern w:val="0"/>
                <w:sz w:val="22"/>
                <w:szCs w:val="22"/>
                <w:u w:val="none"/>
                <w:lang w:val="en-US" w:eastAsia="zh-CN" w:bidi="ar"/>
              </w:rPr>
            </w:pPr>
            <w:r>
              <w:rPr>
                <w:rFonts w:hint="default" w:eastAsia="SimSun" w:cs="Times New Roman"/>
                <w:i w:val="0"/>
                <w:color w:val="000000"/>
                <w:kern w:val="0"/>
                <w:sz w:val="22"/>
                <w:szCs w:val="22"/>
                <w:u w:val="none"/>
                <w:lang w:val="en-US" w:eastAsia="zh-CN" w:bidi="ar"/>
              </w:rPr>
              <w:t xml:space="preserve">Ceresit CX-5, </w:t>
            </w:r>
          </w:p>
          <w:p>
            <w:pPr>
              <w:pBdr>
                <w:top w:val="none" w:color="auto" w:sz="0" w:space="0"/>
                <w:left w:val="none" w:color="auto" w:sz="0" w:space="0"/>
                <w:bottom w:val="none" w:color="auto" w:sz="0" w:space="0"/>
                <w:right w:val="none" w:color="auto" w:sz="0" w:space="0"/>
                <w:between w:val="none" w:color="auto" w:sz="0" w:space="0"/>
              </w:pBdr>
              <w:jc w:val="both"/>
              <w:rPr>
                <w:rFonts w:eastAsia="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"https://www.ceresit.pl/pl/produkty/materialy-do-kotwienia-i-montazu-konstrukcji/cx-5.html"</w:t>
            </w:r>
            <w:r>
              <w:rPr>
                <w:rFonts w:eastAsia="Times New Roman"/>
                <w:color w:val="000000"/>
                <w:sz w:val="22"/>
                <w:szCs w:val="22"/>
                <w:lang w:val="lt-LT" w:eastAsia="lt-LT"/>
              </w:rPr>
              <w:t> </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500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0,83</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1,00</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415,00</w:t>
            </w:r>
          </w:p>
        </w:tc>
      </w:tr>
      <w:tr>
        <w:tblPrEx>
          <w:tblCellMar>
            <w:top w:w="0" w:type="dxa"/>
            <w:left w:w="108" w:type="dxa"/>
            <w:bottom w:w="0" w:type="dxa"/>
            <w:right w:w="108" w:type="dxa"/>
          </w:tblCellMar>
        </w:tblPrEx>
        <w:trPr>
          <w:gridAfter w:val="1"/>
          <w:wAfter w:w="10" w:type="dxa"/>
          <w:trHeight w:val="981"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3</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Greitai kietėjantis remontinis mišinys betono elementams.</w:t>
            </w:r>
            <w:r>
              <w:rPr>
                <w:rFonts w:eastAsia="Times New Roman"/>
                <w:color w:val="000000"/>
                <w:sz w:val="22"/>
                <w:szCs w:val="22"/>
                <w:lang w:val="lt-LT" w:eastAsia="lt-LT"/>
              </w:rPr>
              <w:t xml:space="preserve"> Betono ir gelžbetonio elementų formavimo defektų (neužpildymų ar nudaužimų ) remontui</w:t>
            </w:r>
            <w:r>
              <w:rPr>
                <w:rFonts w:eastAsia="Times New Roman"/>
                <w:b/>
                <w:bCs/>
                <w:color w:val="000000"/>
                <w:sz w:val="22"/>
                <w:szCs w:val="22"/>
                <w:lang w:val="lt-LT" w:eastAsia="lt-LT"/>
              </w:rPr>
              <w:t xml:space="preserve">. </w:t>
            </w:r>
            <w:r>
              <w:rPr>
                <w:rFonts w:eastAsia="Times New Roman"/>
                <w:color w:val="000000"/>
                <w:sz w:val="22"/>
                <w:szCs w:val="22"/>
                <w:lang w:val="lt-LT" w:eastAsia="lt-LT"/>
              </w:rPr>
              <w:t>Betono ir gelžbetonio konstrukcijų eksploatavimo defektų remontui.</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Mišinys betono išlyginimui Weber S-30, 10-50 mm, skirtas dideliems defektams po betonavimo darbų taisyti, pakuotė 25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en-US" w:eastAsia="lt-LT"/>
              </w:rPr>
            </w:pPr>
            <w:r>
              <w:rPr>
                <w:rFonts w:hint="default" w:eastAsia="Times New Roman"/>
                <w:color w:val="000000"/>
                <w:sz w:val="22"/>
                <w:szCs w:val="22"/>
                <w:lang w:val="en-US" w:eastAsia="lt-LT"/>
              </w:rPr>
              <w:t xml:space="preserve">Weber S-30 </w:t>
            </w:r>
            <w:r>
              <w:rPr>
                <w:rFonts w:hint="default" w:ascii="Times New Roman" w:hAnsi="Times New Roman" w:eastAsia="SimSun" w:cs="Times New Roman"/>
                <w:i w:val="0"/>
                <w:color w:val="000000"/>
                <w:kern w:val="0"/>
                <w:sz w:val="22"/>
                <w:szCs w:val="22"/>
                <w:u w:val="none"/>
                <w:lang w:val="en-US" w:eastAsia="zh-CN" w:bidi="ar"/>
              </w:rPr>
              <w:t>"https://www.lt.weber/muro-misiniai/cementiniai-misiniai/weber-s-30"</w:t>
            </w:r>
            <w:r>
              <w:rPr>
                <w:rFonts w:hint="default" w:eastAsia="Times New Roman"/>
                <w:color w:val="000000"/>
                <w:sz w:val="22"/>
                <w:szCs w:val="22"/>
                <w:lang w:val="en-US" w:eastAsia="lt-LT"/>
              </w:rPr>
              <w:t xml:space="preserve"> </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1250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0,21</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0,25</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262,50</w:t>
            </w:r>
          </w:p>
        </w:tc>
      </w:tr>
      <w:tr>
        <w:tblPrEx>
          <w:tblCellMar>
            <w:top w:w="0" w:type="dxa"/>
            <w:left w:w="108" w:type="dxa"/>
            <w:bottom w:w="0" w:type="dxa"/>
            <w:right w:w="108" w:type="dxa"/>
          </w:tblCellMar>
        </w:tblPrEx>
        <w:trPr>
          <w:gridAfter w:val="1"/>
          <w:wAfter w:w="10" w:type="dxa"/>
          <w:trHeight w:val="244"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4</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Sausas betonas (smulkiagrūdis)</w:t>
            </w:r>
            <w:r>
              <w:rPr>
                <w:rFonts w:eastAsia="Times New Roman"/>
                <w:color w:val="000000"/>
                <w:sz w:val="22"/>
                <w:szCs w:val="22"/>
                <w:lang w:val="lt-LT" w:eastAsia="lt-LT"/>
              </w:rPr>
              <w:t>, pakuotėje 25 kg ±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Sausas smulkiagrūdis betonas Stimelit ST11.01, pakuotė 25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eastAsia="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Stimelit ST11.01</w:t>
            </w:r>
            <w:r>
              <w:rPr>
                <w:rFonts w:hint="default" w:eastAsia="SimSun" w:cs="Times New Roman"/>
                <w:i w:val="0"/>
                <w:color w:val="000000"/>
                <w:kern w:val="0"/>
                <w:sz w:val="22"/>
                <w:szCs w:val="22"/>
                <w:u w:val="none"/>
                <w:lang w:val="en-US" w:eastAsia="zh-CN" w:bidi="ar"/>
              </w:rPr>
              <w:t xml:space="preserve">, </w:t>
            </w:r>
            <w:r>
              <w:rPr>
                <w:rFonts w:eastAsia="Times New Roman"/>
                <w:color w:val="000000"/>
                <w:sz w:val="22"/>
                <w:szCs w:val="22"/>
                <w:lang w:val="lt-LT" w:eastAsia="lt-LT"/>
              </w:rPr>
              <w:t> </w:t>
            </w:r>
            <w:r>
              <w:rPr>
                <w:rFonts w:hint="default" w:ascii="Times New Roman" w:hAnsi="Times New Roman" w:eastAsia="SimSun" w:cs="Times New Roman"/>
                <w:i w:val="0"/>
                <w:color w:val="000000"/>
                <w:kern w:val="0"/>
                <w:sz w:val="22"/>
                <w:szCs w:val="22"/>
                <w:u w:val="none"/>
                <w:lang w:val="en-US" w:eastAsia="zh-CN" w:bidi="ar"/>
              </w:rPr>
              <w:t>"https://stimelit.lt/produktai/grindu-irengimo-islyginimo-misiniai/st1101-sausas-smulkiagrudis-betonas"</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5000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0,06</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0,07</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300,00</w:t>
            </w:r>
          </w:p>
        </w:tc>
      </w:tr>
      <w:tr>
        <w:tblPrEx>
          <w:tblCellMar>
            <w:top w:w="0" w:type="dxa"/>
            <w:left w:w="108" w:type="dxa"/>
            <w:bottom w:w="0" w:type="dxa"/>
            <w:right w:w="108" w:type="dxa"/>
          </w:tblCellMar>
        </w:tblPrEx>
        <w:trPr>
          <w:gridAfter w:val="1"/>
          <w:wAfter w:w="10" w:type="dxa"/>
          <w:trHeight w:val="135"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5</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Sausas betonas (stambiagrūdis)</w:t>
            </w:r>
            <w:r>
              <w:rPr>
                <w:rFonts w:eastAsia="Times New Roman"/>
                <w:color w:val="000000"/>
                <w:sz w:val="22"/>
                <w:szCs w:val="22"/>
                <w:lang w:val="lt-LT" w:eastAsia="lt-LT"/>
              </w:rPr>
              <w:t>, pakuotėje 25 kg  ±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Sausas stambiagrūdis betonas Stimelit ST11.01, pakuotė 25 kg</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eastAsia="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Stimelit ST11.01</w:t>
            </w:r>
            <w:r>
              <w:rPr>
                <w:rFonts w:eastAsia="Times New Roman"/>
                <w:color w:val="000000"/>
                <w:sz w:val="22"/>
                <w:szCs w:val="22"/>
                <w:lang w:val="lt-LT" w:eastAsia="lt-LT"/>
              </w:rPr>
              <w:t> </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50000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0,07</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0,08</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3500,00</w:t>
            </w:r>
          </w:p>
        </w:tc>
      </w:tr>
      <w:tr>
        <w:tblPrEx>
          <w:tblCellMar>
            <w:top w:w="0" w:type="dxa"/>
            <w:left w:w="108" w:type="dxa"/>
            <w:bottom w:w="0" w:type="dxa"/>
            <w:right w:w="108" w:type="dxa"/>
          </w:tblCellMar>
        </w:tblPrEx>
        <w:trPr>
          <w:gridAfter w:val="1"/>
          <w:wAfter w:w="10" w:type="dxa"/>
          <w:trHeight w:val="1185"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6</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Grindų išlyginamasis mišinys.</w:t>
            </w:r>
            <w:r>
              <w:rPr>
                <w:rFonts w:eastAsia="Times New Roman"/>
                <w:color w:val="000000"/>
                <w:sz w:val="22"/>
                <w:szCs w:val="22"/>
                <w:lang w:val="lt-LT" w:eastAsia="lt-LT"/>
              </w:rPr>
              <w:t xml:space="preserve"> Cementinis, savaime išsilyginantis, rankiniam naudojimui, monolitiniams grindų pagrindams ir plaukiojančioms grindims lieti storiu nuo 5 iki 80 mm, naudojamas tiek vidui tiek lauke. Pakuotė - maišai po 25 kg ±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Išlyginamoji danga Ceresit CN 80, skirtas grindų pagrindams bei pastatų išorei lyginti, pakuotė 25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en-US" w:eastAsia="lt-LT"/>
              </w:rPr>
            </w:pPr>
            <w:r>
              <w:rPr>
                <w:rFonts w:hint="default" w:ascii="Times New Roman" w:hAnsi="Times New Roman" w:eastAsia="SimSun" w:cs="Times New Roman"/>
                <w:i w:val="0"/>
                <w:color w:val="000000"/>
                <w:kern w:val="0"/>
                <w:sz w:val="22"/>
                <w:szCs w:val="22"/>
                <w:u w:val="none"/>
                <w:lang w:val="en-US" w:eastAsia="zh-CN" w:bidi="ar"/>
              </w:rPr>
              <w:t>Ceresit CN 80</w:t>
            </w:r>
            <w:r>
              <w:rPr>
                <w:rFonts w:hint="default" w:eastAsia="SimSun" w:cs="Times New Roman"/>
                <w:i w:val="0"/>
                <w:color w:val="000000"/>
                <w:kern w:val="0"/>
                <w:sz w:val="22"/>
                <w:szCs w:val="22"/>
                <w:u w:val="none"/>
                <w:lang w:val="en-US"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"https://www.ceresit.lt/pagrindinis-puslapis/products/grindys/savaime-issilyginantys-misiniai/leveling-compounds-thick-layers/ceresit-cn-80.html"</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5000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0,17</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0,21</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850,00</w:t>
            </w:r>
          </w:p>
        </w:tc>
      </w:tr>
      <w:tr>
        <w:tblPrEx>
          <w:tblCellMar>
            <w:top w:w="0" w:type="dxa"/>
            <w:left w:w="108" w:type="dxa"/>
            <w:bottom w:w="0" w:type="dxa"/>
            <w:right w:w="108" w:type="dxa"/>
          </w:tblCellMar>
        </w:tblPrEx>
        <w:trPr>
          <w:gridAfter w:val="1"/>
          <w:wAfter w:w="10" w:type="dxa"/>
          <w:trHeight w:val="1195"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7</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Grindų išlyginamasis mišinys. </w:t>
            </w:r>
            <w:r>
              <w:rPr>
                <w:rFonts w:eastAsia="Times New Roman"/>
                <w:color w:val="000000"/>
                <w:sz w:val="22"/>
                <w:szCs w:val="22"/>
                <w:lang w:val="lt-LT" w:eastAsia="lt-LT"/>
              </w:rPr>
              <w:t>Cementinis, greitai kietėjantis, galima vaikščioti po 4 valandų, rankiniam naudojimui, sluoksnio storis 1-15 mm,, naudojamas sausose patalpose. 1 – 15 mm storio sąnaudos: 20 kg skiedinio 1m² ir kiekvieniems 10 mm sluoksnio storio. Pakuotė - maišai po 25 kg ±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Atlas SMS 15, išsilyginantis grindų mišinys, greitai kietėjantis, sluoksnio storis 1-15 mm, pakuotė  25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en-US" w:eastAsia="lt-LT"/>
              </w:rPr>
            </w:pPr>
            <w:r>
              <w:rPr>
                <w:rFonts w:hint="default" w:ascii="Times New Roman" w:hAnsi="Times New Roman" w:eastAsia="SimSun" w:cs="Times New Roman"/>
                <w:i w:val="0"/>
                <w:color w:val="000000"/>
                <w:kern w:val="0"/>
                <w:sz w:val="22"/>
                <w:szCs w:val="22"/>
                <w:u w:val="none"/>
                <w:lang w:val="en-US" w:eastAsia="zh-CN" w:bidi="ar"/>
              </w:rPr>
              <w:t>Atlas SMS 15</w:t>
            </w:r>
            <w:r>
              <w:rPr>
                <w:rFonts w:hint="default" w:eastAsia="SimSun" w:cs="Times New Roman"/>
                <w:i w:val="0"/>
                <w:color w:val="000000"/>
                <w:kern w:val="0"/>
                <w:sz w:val="22"/>
                <w:szCs w:val="22"/>
                <w:u w:val="none"/>
                <w:lang w:val="en-US"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"https://www.atlas.com.pl/produkt/atlas-sms-15-522-1277/"</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7500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0,31</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0,38</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2325,00</w:t>
            </w:r>
          </w:p>
        </w:tc>
      </w:tr>
      <w:tr>
        <w:tblPrEx>
          <w:tblCellMar>
            <w:top w:w="0" w:type="dxa"/>
            <w:left w:w="108" w:type="dxa"/>
            <w:bottom w:w="0" w:type="dxa"/>
            <w:right w:w="108" w:type="dxa"/>
          </w:tblCellMar>
        </w:tblPrEx>
        <w:trPr>
          <w:gridAfter w:val="1"/>
          <w:wAfter w:w="10" w:type="dxa"/>
          <w:trHeight w:val="1200"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8</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Grindų išlyginamasis mišinys. </w:t>
            </w:r>
            <w:r>
              <w:rPr>
                <w:rFonts w:eastAsia="Times New Roman"/>
                <w:color w:val="000000"/>
                <w:sz w:val="22"/>
                <w:szCs w:val="22"/>
                <w:lang w:val="lt-LT" w:eastAsia="lt-LT"/>
              </w:rPr>
              <w:t>Cementinis, greitai kietėjantis, galima vaikščioti po 4 valandų, rankiniam naudojimui, sluoksnio storis 3-30 mm,  naudojamas sausose patalpose. 3 – 30 mm storio sąnaudos: 16,5 kg skiedinio 1m² ir kiekvieniems 10 mm sluoksnio storio. Pakuotė - maišai po 25 kg ±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Atlas SMS 30, išsilyginantis grindų mišinys, greitai kietėjantis, sluoksnio storis 3-30 mm, pakuotė  25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eastAsia="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Atlas SMS 30</w:t>
            </w:r>
            <w:r>
              <w:rPr>
                <w:rFonts w:hint="default" w:eastAsia="SimSun" w:cs="Times New Roman"/>
                <w:i w:val="0"/>
                <w:color w:val="000000"/>
                <w:kern w:val="0"/>
                <w:sz w:val="22"/>
                <w:szCs w:val="22"/>
                <w:u w:val="none"/>
                <w:lang w:val="en-US"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"https://www.atlas.com.pl/produkt/atlas-sms-30-522-1278/"</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17500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0,31</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0,38</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5425,00</w:t>
            </w:r>
          </w:p>
        </w:tc>
      </w:tr>
      <w:tr>
        <w:tblPrEx>
          <w:tblCellMar>
            <w:top w:w="0" w:type="dxa"/>
            <w:left w:w="108" w:type="dxa"/>
            <w:bottom w:w="0" w:type="dxa"/>
            <w:right w:w="108" w:type="dxa"/>
          </w:tblCellMar>
        </w:tblPrEx>
        <w:trPr>
          <w:gridAfter w:val="1"/>
          <w:wAfter w:w="10" w:type="dxa"/>
          <w:trHeight w:val="1549"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9</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Grindų išlyginamasis mišinys. </w:t>
            </w:r>
            <w:r>
              <w:rPr>
                <w:rFonts w:eastAsia="Times New Roman"/>
                <w:color w:val="000000"/>
                <w:sz w:val="22"/>
                <w:szCs w:val="22"/>
                <w:lang w:val="lt-LT" w:eastAsia="lt-LT"/>
              </w:rPr>
              <w:t>Cementinis, greitai kietėjantis, galima vaikščioti po 3 valandų, rankiniam, mašininiam naudojimui, sluoksnio storis 2-20 mm, naudojamas sausose patalpose, tinka šildomoms grindims.  2 – 20 mm storio sąnaudos: 1,6 kg/m² skiedinio 1 mm sluoksnio storio. Pakuotė - maišai po 25 kg ±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Savaime išsilyginantis mišinys Ceresit CN72, greitai kietėjantis, rankiniam, mašininiam naudojimui, sluoksnio storis 2- 20 mm, pakuotė 25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eastAsia="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Ceresit CN72</w:t>
            </w:r>
            <w:r>
              <w:rPr>
                <w:rFonts w:hint="default" w:eastAsia="SimSun" w:cs="Times New Roman"/>
                <w:i w:val="0"/>
                <w:color w:val="000000"/>
                <w:kern w:val="0"/>
                <w:sz w:val="22"/>
                <w:szCs w:val="22"/>
                <w:u w:val="none"/>
                <w:lang w:val="en-US"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"https://www.ceresit.com/en/products/flooring/levelling-compounds/leveling-compounds-thin-layers/ceresit-cn-72.html"</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2500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1,19</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1,44</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2975,00</w:t>
            </w:r>
          </w:p>
        </w:tc>
      </w:tr>
      <w:tr>
        <w:tblPrEx>
          <w:tblCellMar>
            <w:top w:w="0" w:type="dxa"/>
            <w:left w:w="108" w:type="dxa"/>
            <w:bottom w:w="0" w:type="dxa"/>
            <w:right w:w="108" w:type="dxa"/>
          </w:tblCellMar>
        </w:tblPrEx>
        <w:trPr>
          <w:gridAfter w:val="1"/>
          <w:wAfter w:w="10" w:type="dxa"/>
          <w:trHeight w:val="988"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10</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Tinkas dekoratyvinis. </w:t>
            </w:r>
            <w:r>
              <w:rPr>
                <w:rFonts w:eastAsia="Times New Roman"/>
                <w:color w:val="000000"/>
                <w:sz w:val="22"/>
                <w:szCs w:val="22"/>
                <w:lang w:val="lt-LT" w:eastAsia="lt-LT"/>
              </w:rPr>
              <w:t>Mineraliniu pagrindu, lengvas tinka vidaus ir išorės darbams, grūdėtumas (draskyta samanėlė)  2 mm, sąnaudos  2,3 kg/m²± 0,2 %., elastiškai dengiamas dėl lengvų priedų,  pakuotė - maišai po 25 kg ±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Mineralinis lengvasis tinkas Capatect-Mineral-Leichtputz K20, skirtas vidaus ir lauko darbams, išeiga  2,3 kg / m², pakuotė  25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en-US" w:eastAsia="lt-LT"/>
              </w:rPr>
            </w:pPr>
            <w:r>
              <w:rPr>
                <w:rFonts w:hint="default" w:ascii="Times New Roman" w:hAnsi="Times New Roman" w:eastAsia="SimSun" w:cs="Times New Roman"/>
                <w:i w:val="0"/>
                <w:color w:val="000000"/>
                <w:kern w:val="0"/>
                <w:sz w:val="22"/>
                <w:szCs w:val="22"/>
                <w:u w:val="none"/>
                <w:lang w:val="en-US" w:eastAsia="zh-CN" w:bidi="ar"/>
              </w:rPr>
              <w:t>Capatect-Mineral-Leichtputz K20</w:t>
            </w:r>
            <w:r>
              <w:rPr>
                <w:rFonts w:hint="default" w:eastAsia="SimSun" w:cs="Times New Roman"/>
                <w:i w:val="0"/>
                <w:color w:val="000000"/>
                <w:kern w:val="0"/>
                <w:sz w:val="22"/>
                <w:szCs w:val="22"/>
                <w:u w:val="none"/>
                <w:lang w:val="en-US"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"https://www.caparol.de/en/product-range/facade-and-insulation-technology/innendaemmsysteme/capatect-ids-protect/capatect-mineral-leichtputz"</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1050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0,28</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0,34</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294,00</w:t>
            </w:r>
          </w:p>
        </w:tc>
      </w:tr>
      <w:tr>
        <w:tblPrEx>
          <w:tblCellMar>
            <w:top w:w="0" w:type="dxa"/>
            <w:left w:w="108" w:type="dxa"/>
            <w:bottom w:w="0" w:type="dxa"/>
            <w:right w:w="108" w:type="dxa"/>
          </w:tblCellMar>
        </w:tblPrEx>
        <w:trPr>
          <w:gridAfter w:val="1"/>
          <w:wAfter w:w="10" w:type="dxa"/>
          <w:trHeight w:val="960"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11</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Tinkas dekoratyvinis. </w:t>
            </w:r>
            <w:r>
              <w:rPr>
                <w:rFonts w:eastAsia="Times New Roman"/>
                <w:color w:val="000000"/>
                <w:sz w:val="22"/>
                <w:szCs w:val="22"/>
                <w:lang w:val="lt-LT" w:eastAsia="lt-LT"/>
              </w:rPr>
              <w:t>Silikoniniu pagrindu, tonuojamas, tinka vidaus ir išorės darbams, grūdėtumas 2 mm, faktūra samanėlė, Sąnaudos 2,8 kg/m²± 0,2 %. Spalva pasirinktinai pagal gamintojo“ paletę.</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Optoplast Silcolith silikoninis fasadinis tinkas, Optoplast Silcolith fasadinis silikoninis tinkas gaminamas "samanėlės" arba "lietučio" struktūros. Skirtas išorės ir vidaus tinkavimui.  Pasižymi ypač dideliu atsparumu vandeniui, uždara tinko mikroporų struktūra neleidžia paviršiuje kauptis nešvarumams. Baltos spalvos arba spalvinamas pagal Color Magic paletę.Grūdo dydis/ sąnaudos 2 mm-2,8 kg/m2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eastAsia="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Optoplast Silcolith</w:t>
            </w:r>
            <w:r>
              <w:rPr>
                <w:rFonts w:hint="default" w:eastAsia="SimSun" w:cs="Times New Roman"/>
                <w:i w:val="0"/>
                <w:color w:val="000000"/>
                <w:kern w:val="0"/>
                <w:sz w:val="22"/>
                <w:szCs w:val="22"/>
                <w:u w:val="none"/>
                <w:lang w:val="en-US" w:eastAsia="zh-CN" w:bidi="ar"/>
              </w:rPr>
              <w:t>,</w:t>
            </w:r>
            <w:r>
              <w:rPr>
                <w:rFonts w:eastAsia="Times New Roman"/>
                <w:color w:val="000000"/>
                <w:sz w:val="22"/>
                <w:szCs w:val="22"/>
                <w:lang w:val="lt-LT" w:eastAsia="lt-LT"/>
              </w:rPr>
              <w:t> </w:t>
            </w:r>
            <w:r>
              <w:rPr>
                <w:rFonts w:hint="default" w:ascii="Times New Roman" w:hAnsi="Times New Roman" w:eastAsia="SimSun" w:cs="Times New Roman"/>
                <w:i w:val="0"/>
                <w:color w:val="000000"/>
                <w:kern w:val="0"/>
                <w:sz w:val="22"/>
                <w:szCs w:val="22"/>
                <w:u w:val="none"/>
                <w:lang w:val="en-US" w:eastAsia="zh-CN" w:bidi="ar"/>
              </w:rPr>
              <w:t>"http://optolith.lt/pdf/OPTOPLAST%20SILCOLITH%202017%20MOB.pdf"</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750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1,38</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1,67</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1035,00</w:t>
            </w:r>
          </w:p>
        </w:tc>
      </w:tr>
      <w:tr>
        <w:tblPrEx>
          <w:tblCellMar>
            <w:top w:w="0" w:type="dxa"/>
            <w:left w:w="108" w:type="dxa"/>
            <w:bottom w:w="0" w:type="dxa"/>
            <w:right w:w="108" w:type="dxa"/>
          </w:tblCellMar>
        </w:tblPrEx>
        <w:trPr>
          <w:gridAfter w:val="1"/>
          <w:wAfter w:w="10" w:type="dxa"/>
          <w:trHeight w:val="1020"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12</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Tinkas dekoratyvinis. </w:t>
            </w:r>
            <w:r>
              <w:rPr>
                <w:rFonts w:eastAsia="Times New Roman"/>
                <w:color w:val="000000"/>
                <w:sz w:val="22"/>
                <w:szCs w:val="22"/>
                <w:lang w:val="lt-LT" w:eastAsia="lt-LT"/>
              </w:rPr>
              <w:t>Gruntas skirtas pagrindo paruošimai prieš dekoratyvinio tinko klojimą, išlygina paviršiaus įgeriamumą,, tinka vidaus ir išorės darbams, pakuotė -  po 15 kg ±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Gruntas skirtas pagrindo paruošimai prieš dekoratyvinio tinko klojimą, išlygina paviršiaus įgeriamumą,, tinka vidaus ir išorės darbams, pakuotė 15 kg</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en-US" w:eastAsia="lt-LT"/>
              </w:rPr>
            </w:pPr>
            <w:r>
              <w:rPr>
                <w:rFonts w:hint="default" w:eastAsia="Times New Roman"/>
                <w:color w:val="000000"/>
                <w:sz w:val="22"/>
                <w:szCs w:val="22"/>
                <w:lang w:val="en-US" w:eastAsia="lt-LT"/>
              </w:rPr>
              <w:t>Sakret PG, “http://www.sakret.lt/product/pg-gruntas-pries-dekoratyvini-tinka/”</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225</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1,40</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1,69</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315,00</w:t>
            </w:r>
          </w:p>
        </w:tc>
      </w:tr>
      <w:tr>
        <w:tblPrEx>
          <w:tblCellMar>
            <w:top w:w="0" w:type="dxa"/>
            <w:left w:w="108" w:type="dxa"/>
            <w:bottom w:w="0" w:type="dxa"/>
            <w:right w:w="108" w:type="dxa"/>
          </w:tblCellMar>
        </w:tblPrEx>
        <w:trPr>
          <w:gridAfter w:val="1"/>
          <w:wAfter w:w="10" w:type="dxa"/>
          <w:trHeight w:val="891"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13</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Tinkas. </w:t>
            </w:r>
            <w:r>
              <w:rPr>
                <w:rFonts w:eastAsia="Times New Roman"/>
                <w:color w:val="000000"/>
                <w:sz w:val="22"/>
                <w:szCs w:val="22"/>
                <w:lang w:val="lt-LT" w:eastAsia="lt-LT"/>
              </w:rPr>
              <w:t>Gipsinis, su specialiais lengvais priedais, rankiniam naudojimui, gniuždymo stipris ≥ 3,0 N/m², sluoksnio storis nuo 5 iki 50 mm,  sąnaudos - ne daugiau 8,0 kg./m2, kai sluoksnio storis 10 mm ±0,005 %, pakuotėje po 30 kg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Tinkas gipsinis Knauf Rothband su lengvais užpildais, skirtas rankiniam naudojimui, gniuždymo stipris ≥ 3,0 N/m², sluoksnio storis nuo 5 iki 50 mm, Sąnaudos: 8 kg/m²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en-US" w:eastAsia="lt-LT"/>
              </w:rPr>
            </w:pPr>
            <w:r>
              <w:rPr>
                <w:rFonts w:hint="default" w:ascii="Times New Roman" w:hAnsi="Times New Roman" w:eastAsia="SimSun" w:cs="Times New Roman"/>
                <w:i w:val="0"/>
                <w:color w:val="000000"/>
                <w:kern w:val="0"/>
                <w:sz w:val="22"/>
                <w:szCs w:val="22"/>
                <w:u w:val="none"/>
                <w:lang w:val="en-US" w:eastAsia="zh-CN" w:bidi="ar"/>
              </w:rPr>
              <w:t>Knauf Rothband</w:t>
            </w:r>
            <w:r>
              <w:rPr>
                <w:rFonts w:hint="default" w:eastAsia="SimSun" w:cs="Times New Roman"/>
                <w:i w:val="0"/>
                <w:color w:val="000000"/>
                <w:kern w:val="0"/>
                <w:sz w:val="22"/>
                <w:szCs w:val="22"/>
                <w:u w:val="none"/>
                <w:lang w:val="en-US"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"https://www.knauf.lt/produktai-ir-sistemos/produktu-a-z/rotband.html?gclid=Cj0KCQjw8fr7BRDSARIsAK0Qqr5PpRvNJCpIJ7gZL_i3vykz00av0aJa7_m82le6cRtQOSWkQne-gbYaAiwYEALw_wcB"</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36000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0,40</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0,48</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14400,00</w:t>
            </w:r>
          </w:p>
        </w:tc>
      </w:tr>
      <w:tr>
        <w:tblPrEx>
          <w:tblCellMar>
            <w:top w:w="0" w:type="dxa"/>
            <w:left w:w="108" w:type="dxa"/>
            <w:bottom w:w="0" w:type="dxa"/>
            <w:right w:w="108" w:type="dxa"/>
          </w:tblCellMar>
        </w:tblPrEx>
        <w:trPr>
          <w:gridAfter w:val="1"/>
          <w:wAfter w:w="10" w:type="dxa"/>
          <w:trHeight w:val="1835"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14</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Tinkas.</w:t>
            </w:r>
            <w:r>
              <w:rPr>
                <w:rFonts w:eastAsia="Times New Roman"/>
                <w:color w:val="000000"/>
                <w:sz w:val="22"/>
                <w:szCs w:val="22"/>
                <w:lang w:val="lt-LT" w:eastAsia="lt-LT"/>
              </w:rPr>
              <w:t xml:space="preserve"> Gipsinis, mašininiam naudojimui, „MP 75“ tipo arba lygevertis sąnaudos 10,5 kg. ± 0,5 % /m2, kai sluoksnio storis 10 mm, pakuotė - maišai po 30 kg ± 0,5 %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Mašininis gipsinis tinkas „Knauf“ MP75, Išeiga 2,9 m²/maišo (30 kg), pakuotė 30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en-US" w:eastAsia="lt-LT"/>
              </w:rPr>
            </w:pPr>
            <w:r>
              <w:rPr>
                <w:rFonts w:hint="default" w:ascii="Times New Roman" w:hAnsi="Times New Roman" w:eastAsia="SimSun" w:cs="Times New Roman"/>
                <w:i w:val="0"/>
                <w:color w:val="000000"/>
                <w:kern w:val="0"/>
                <w:sz w:val="22"/>
                <w:szCs w:val="22"/>
                <w:u w:val="none"/>
                <w:lang w:val="en-US" w:eastAsia="zh-CN" w:bidi="ar"/>
              </w:rPr>
              <w:t>Knauf MP75</w:t>
            </w:r>
            <w:r>
              <w:rPr>
                <w:rFonts w:hint="default" w:eastAsia="SimSun" w:cs="Times New Roman"/>
                <w:i w:val="0"/>
                <w:color w:val="000000"/>
                <w:kern w:val="0"/>
                <w:sz w:val="22"/>
                <w:szCs w:val="22"/>
                <w:u w:val="none"/>
                <w:lang w:val="en-US"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"https://www.knauf.lt/produktai-ir-sistemos/produktu-a-z/mp-75.html"</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3000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0,15</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0,18</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450,00</w:t>
            </w:r>
          </w:p>
        </w:tc>
      </w:tr>
      <w:tr>
        <w:tblPrEx>
          <w:tblCellMar>
            <w:top w:w="0" w:type="dxa"/>
            <w:left w:w="108" w:type="dxa"/>
            <w:bottom w:w="0" w:type="dxa"/>
            <w:right w:w="108" w:type="dxa"/>
          </w:tblCellMar>
        </w:tblPrEx>
        <w:trPr>
          <w:gridAfter w:val="1"/>
          <w:wAfter w:w="10" w:type="dxa"/>
          <w:trHeight w:val="803"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15</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Tinkas.</w:t>
            </w:r>
            <w:r>
              <w:rPr>
                <w:rFonts w:eastAsia="Times New Roman"/>
                <w:color w:val="000000"/>
                <w:sz w:val="22"/>
                <w:szCs w:val="22"/>
                <w:lang w:val="lt-LT" w:eastAsia="lt-LT"/>
              </w:rPr>
              <w:t xml:space="preserve"> Plonasluoksnis, cementinis-kalkinis, sienų, lubų tinkavimui, rankiniam naudojimui, sluoksnio storis 3-10 mm, pakuotė – maišai po 25 kg ±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Plonasluoksnis cementinis tinkas Weber T-1/136, skirtas vidaus ir išorės sienoms ir luboms tinkuoti, pakuotė 25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eastAsia="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Weber T-1/136</w:t>
            </w:r>
            <w:r>
              <w:rPr>
                <w:rFonts w:hint="default" w:eastAsia="SimSun" w:cs="Times New Roman"/>
                <w:i w:val="0"/>
                <w:color w:val="000000"/>
                <w:kern w:val="0"/>
                <w:sz w:val="22"/>
                <w:szCs w:val="22"/>
                <w:u w:val="none"/>
                <w:lang w:val="en-US"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"https://www.lt.weber/glaistai-ir-tinkai/tinkavimo-sistemos/weber-t-1"</w:t>
            </w:r>
            <w:r>
              <w:rPr>
                <w:rFonts w:eastAsia="Times New Roman"/>
                <w:color w:val="000000"/>
                <w:sz w:val="22"/>
                <w:szCs w:val="22"/>
                <w:lang w:val="lt-LT" w:eastAsia="lt-LT"/>
              </w:rPr>
              <w:t> </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2500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0,11</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0,13</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275,00</w:t>
            </w:r>
          </w:p>
        </w:tc>
      </w:tr>
      <w:tr>
        <w:tblPrEx>
          <w:tblCellMar>
            <w:top w:w="0" w:type="dxa"/>
            <w:left w:w="108" w:type="dxa"/>
            <w:bottom w:w="0" w:type="dxa"/>
            <w:right w:w="108" w:type="dxa"/>
          </w:tblCellMar>
        </w:tblPrEx>
        <w:trPr>
          <w:gridAfter w:val="1"/>
          <w:wAfter w:w="10" w:type="dxa"/>
          <w:trHeight w:val="701"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16</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Tinkas. </w:t>
            </w:r>
            <w:r>
              <w:rPr>
                <w:rFonts w:eastAsia="Times New Roman"/>
                <w:color w:val="000000"/>
                <w:sz w:val="22"/>
                <w:szCs w:val="22"/>
                <w:lang w:val="lt-LT" w:eastAsia="lt-LT"/>
              </w:rPr>
              <w:t>Cementinis-kalkinis, sienų, lubų tinkavimui, rankiniam naudojimui, sluoksnio storis 5-20 mm, pakuotė - maišai po 25 kg ±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Cementinis kalkinis tinkas Weber T-2, skirtas grindų pagrindams bei pastatų išorei lyginti, sienoms ir luboms tinkuoti, išeiga 1,6 kg/m² vienam sluoksnio storio mm, pakuotė 25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en-US" w:eastAsia="lt-LT"/>
              </w:rPr>
            </w:pPr>
            <w:r>
              <w:rPr>
                <w:rFonts w:hint="default" w:ascii="Times New Roman" w:hAnsi="Times New Roman" w:eastAsia="SimSun" w:cs="Times New Roman"/>
                <w:i w:val="0"/>
                <w:color w:val="000000"/>
                <w:kern w:val="0"/>
                <w:sz w:val="22"/>
                <w:szCs w:val="22"/>
                <w:u w:val="none"/>
                <w:lang w:val="en-US" w:eastAsia="zh-CN" w:bidi="ar"/>
              </w:rPr>
              <w:t>Weber T-2</w:t>
            </w:r>
            <w:r>
              <w:rPr>
                <w:rFonts w:hint="default" w:eastAsia="SimSun" w:cs="Times New Roman"/>
                <w:i w:val="0"/>
                <w:color w:val="000000"/>
                <w:kern w:val="0"/>
                <w:sz w:val="22"/>
                <w:szCs w:val="22"/>
                <w:u w:val="none"/>
                <w:lang w:val="en-US"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"https://www.lt.weber/glaistai-ir-tinkai/tinkavimo-sistemos/weber-t-2"</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5000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0,11</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0,13</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550,00</w:t>
            </w:r>
          </w:p>
        </w:tc>
      </w:tr>
      <w:tr>
        <w:tblPrEx>
          <w:tblCellMar>
            <w:top w:w="0" w:type="dxa"/>
            <w:left w:w="108" w:type="dxa"/>
            <w:bottom w:w="0" w:type="dxa"/>
            <w:right w:w="108" w:type="dxa"/>
          </w:tblCellMar>
        </w:tblPrEx>
        <w:trPr>
          <w:gridAfter w:val="1"/>
          <w:wAfter w:w="10" w:type="dxa"/>
          <w:trHeight w:val="925"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17</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Mūro mišinys. </w:t>
            </w:r>
            <w:r>
              <w:rPr>
                <w:rFonts w:eastAsia="Times New Roman"/>
                <w:color w:val="000000"/>
                <w:sz w:val="22"/>
                <w:szCs w:val="22"/>
                <w:lang w:val="lt-LT" w:eastAsia="lt-LT"/>
              </w:rPr>
              <w:t>Cementinis-kalkinis, stiprumo klasė M5, sąnaudos 75 kg/m²± 0,5 %. kai mūro storis ½ plytos, siūlės plotis 6-40 mm, rankiniam naudojimui, vidaus ir lauko darbams, pakuotė - maišai po 25 kg ±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Mūro-tinko mišinys Sakret PM Super, skirtas vidaus ir išorės darbams bei rankiniam naudojimui, pakuotė 25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en-US" w:eastAsia="lt-LT"/>
              </w:rPr>
            </w:pPr>
            <w:r>
              <w:rPr>
                <w:rFonts w:hint="default" w:ascii="Times New Roman" w:hAnsi="Times New Roman" w:eastAsia="SimSun" w:cs="Times New Roman"/>
                <w:i w:val="0"/>
                <w:color w:val="000000"/>
                <w:kern w:val="0"/>
                <w:sz w:val="22"/>
                <w:szCs w:val="22"/>
                <w:u w:val="none"/>
                <w:lang w:val="en-US" w:eastAsia="zh-CN" w:bidi="ar"/>
              </w:rPr>
              <w:t>Sakret PM Super</w:t>
            </w:r>
            <w:r>
              <w:rPr>
                <w:rFonts w:hint="default" w:eastAsia="SimSun" w:cs="Times New Roman"/>
                <w:i w:val="0"/>
                <w:color w:val="000000"/>
                <w:kern w:val="0"/>
                <w:sz w:val="22"/>
                <w:szCs w:val="22"/>
                <w:u w:val="none"/>
                <w:lang w:val="en-US"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"http://www.sakret.lt/product/pm-super-muro-tinko-misinys-cementinis-kalkinis/"</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5000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0,10</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0,12</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500,00</w:t>
            </w:r>
          </w:p>
        </w:tc>
      </w:tr>
      <w:tr>
        <w:tblPrEx>
          <w:tblCellMar>
            <w:top w:w="0" w:type="dxa"/>
            <w:left w:w="108" w:type="dxa"/>
            <w:bottom w:w="0" w:type="dxa"/>
            <w:right w:w="108" w:type="dxa"/>
          </w:tblCellMar>
        </w:tblPrEx>
        <w:trPr>
          <w:gridAfter w:val="1"/>
          <w:wAfter w:w="10" w:type="dxa"/>
          <w:trHeight w:val="360"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18</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Klijai. </w:t>
            </w:r>
            <w:r>
              <w:rPr>
                <w:rFonts w:eastAsia="Times New Roman"/>
                <w:color w:val="000000"/>
                <w:sz w:val="22"/>
                <w:szCs w:val="22"/>
                <w:lang w:val="lt-LT" w:eastAsia="lt-LT"/>
              </w:rPr>
              <w:t>Gipso kartono plokštėms klijuoti, pakuotėje 30 kg ± 0,5%</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Gipso plokščių klijai Knauf Perlfix, skirtas gipskartonio plokštėms klijuoti, pakuotė 30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eastAsia="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Knauf Perlfix</w:t>
            </w:r>
            <w:r>
              <w:rPr>
                <w:rFonts w:hint="default" w:eastAsia="SimSun" w:cs="Times New Roman"/>
                <w:i w:val="0"/>
                <w:color w:val="000000"/>
                <w:kern w:val="0"/>
                <w:sz w:val="22"/>
                <w:szCs w:val="22"/>
                <w:u w:val="none"/>
                <w:lang w:val="en-US"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"https://www.knauf.lt/produktai-ir-sistemos/produktu-a-z/perlfix.html"</w:t>
            </w:r>
            <w:r>
              <w:rPr>
                <w:rFonts w:eastAsia="Times New Roman"/>
                <w:color w:val="000000"/>
                <w:sz w:val="22"/>
                <w:szCs w:val="22"/>
                <w:lang w:val="lt-LT" w:eastAsia="lt-LT"/>
              </w:rPr>
              <w:t> </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3600</w:t>
            </w:r>
          </w:p>
        </w:tc>
        <w:tc>
          <w:tcPr>
            <w:tcW w:w="681" w:type="dxa"/>
            <w:gridSpan w:val="2"/>
            <w:tcBorders>
              <w:top w:val="nil"/>
              <w:left w:val="nil"/>
              <w:bottom w:val="nil"/>
              <w:right w:val="nil"/>
            </w:tcBorders>
            <w:shd w:val="clear" w:color="auto" w:fill="auto"/>
            <w:noWrap/>
            <w:vAlign w:val="center"/>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0"/>
                <w:szCs w:val="20"/>
                <w:lang w:val="lt-LT" w:eastAsia="lt-LT"/>
              </w:rPr>
            </w:pPr>
            <w:r>
              <w:rPr>
                <w:rFonts w:eastAsia="Times New Roman"/>
                <w:color w:val="000000"/>
                <w:sz w:val="20"/>
                <w:szCs w:val="20"/>
                <w:lang w:val="lt-LT" w:eastAsia="lt-LT"/>
              </w:rPr>
              <w:t>kg.</w:t>
            </w:r>
          </w:p>
        </w:tc>
        <w:tc>
          <w:tcPr>
            <w:tcW w:w="999" w:type="dxa"/>
            <w:gridSpan w:val="2"/>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0,26</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0,31</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936,00</w:t>
            </w:r>
          </w:p>
        </w:tc>
      </w:tr>
      <w:tr>
        <w:tblPrEx>
          <w:tblCellMar>
            <w:top w:w="0" w:type="dxa"/>
            <w:left w:w="108" w:type="dxa"/>
            <w:bottom w:w="0" w:type="dxa"/>
            <w:right w:w="108" w:type="dxa"/>
          </w:tblCellMar>
        </w:tblPrEx>
        <w:trPr>
          <w:gridAfter w:val="1"/>
          <w:wAfter w:w="10" w:type="dxa"/>
          <w:trHeight w:val="1407"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19</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Armavimo klijavimo mišinys.</w:t>
            </w:r>
            <w:r>
              <w:rPr>
                <w:rFonts w:eastAsia="Times New Roman"/>
                <w:color w:val="000000"/>
                <w:sz w:val="22"/>
                <w:szCs w:val="22"/>
                <w:lang w:val="lt-LT" w:eastAsia="lt-LT"/>
              </w:rPr>
              <w:t xml:space="preserve"> Skirtas armuoti, klijuoti ir glaistyti  polistireninį  putplastį ant keramzitbetonio, akmeninių, betoninių, keraminių bei silikatinių plytų, akytojo betono mūro, tinko bei kitų mineralinių paviršių išorėje ir patalpų viduje. Sąnaudos 1,3 kg/mm/m², Grūdėtumas iki 0,8 mm,  pakuotė - maišai po 25 kg ±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Universalus klijavimo ir armavimo mišinys Knauf Klebespachtel, skirtas armuoti, klijuoti ir glaistyti polistireninį putplastį ant keramzitbetonio, akmeninių, betoninių, keraminių bei silikatinių plytų, akytojo betono mūro, tinko bei kitų mineralinių paviršių išorėje ir patalpų viduje, išeiga 1300 g/m², pakuotė 25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en-US" w:eastAsia="lt-LT"/>
              </w:rPr>
            </w:pPr>
            <w:r>
              <w:rPr>
                <w:rFonts w:hint="default" w:ascii="Times New Roman" w:hAnsi="Times New Roman" w:eastAsia="SimSun" w:cs="Times New Roman"/>
                <w:i w:val="0"/>
                <w:color w:val="000000"/>
                <w:kern w:val="0"/>
                <w:sz w:val="22"/>
                <w:szCs w:val="22"/>
                <w:u w:val="none"/>
                <w:lang w:val="en-US" w:eastAsia="zh-CN" w:bidi="ar"/>
              </w:rPr>
              <w:t>Knauf Klebespachte</w:t>
            </w:r>
            <w:r>
              <w:rPr>
                <w:rFonts w:hint="default" w:eastAsia="SimSun" w:cs="Times New Roman"/>
                <w:i w:val="0"/>
                <w:color w:val="000000"/>
                <w:kern w:val="0"/>
                <w:sz w:val="22"/>
                <w:szCs w:val="22"/>
                <w:u w:val="none"/>
                <w:lang w:val="en-US"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"https://www.knauf.lt/produktai-ir-sistemos/produktu-a-z/klebespachtel-p.html?gclid=EAIaIQobChMIgaDIrLyd7AIVVPiyCh0pEwH1EAAYASAAEgIIj_D_BwE"</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3750</w:t>
            </w:r>
          </w:p>
        </w:tc>
        <w:tc>
          <w:tcPr>
            <w:tcW w:w="681" w:type="dxa"/>
            <w:gridSpan w:val="2"/>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0,22</w:t>
            </w:r>
          </w:p>
        </w:tc>
        <w:tc>
          <w:tcPr>
            <w:tcW w:w="100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0,27</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825,00</w:t>
            </w:r>
          </w:p>
        </w:tc>
      </w:tr>
      <w:tr>
        <w:tblPrEx>
          <w:tblCellMar>
            <w:top w:w="0" w:type="dxa"/>
            <w:left w:w="108" w:type="dxa"/>
            <w:bottom w:w="0" w:type="dxa"/>
            <w:right w:w="108" w:type="dxa"/>
          </w:tblCellMar>
        </w:tblPrEx>
        <w:trPr>
          <w:trHeight w:val="345"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 </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 </w:t>
            </w:r>
          </w:p>
        </w:tc>
        <w:tc>
          <w:tcPr>
            <w:tcW w:w="280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 </w:t>
            </w:r>
          </w:p>
        </w:tc>
        <w:tc>
          <w:tcPr>
            <w:tcW w:w="6633" w:type="dxa"/>
            <w:gridSpan w:val="10"/>
            <w:tcBorders>
              <w:top w:val="single" w:color="auto" w:sz="4" w:space="0"/>
              <w:left w:val="nil"/>
              <w:bottom w:val="single" w:color="auto" w:sz="4" w:space="0"/>
              <w:right w:val="single" w:color="000000"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Preliminari suma 1 pirkimo daliai Eur be PVM</w:t>
            </w:r>
          </w:p>
        </w:tc>
        <w:tc>
          <w:tcPr>
            <w:tcW w:w="132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36</w:t>
            </w:r>
            <w:r>
              <w:rPr>
                <w:rFonts w:hint="default" w:eastAsia="SimSun" w:cs="Times New Roman"/>
                <w:i w:val="0"/>
                <w:color w:val="000000"/>
                <w:kern w:val="0"/>
                <w:sz w:val="22"/>
                <w:szCs w:val="22"/>
                <w:u w:val="none"/>
                <w:lang w:val="lt-LT" w:eastAsia="zh-CN" w:bidi="ar"/>
              </w:rPr>
              <w:t>052</w:t>
            </w:r>
            <w:r>
              <w:rPr>
                <w:rFonts w:hint="default" w:ascii="Times New Roman" w:hAnsi="Times New Roman" w:eastAsia="SimSun" w:cs="Times New Roman"/>
                <w:i w:val="0"/>
                <w:color w:val="000000"/>
                <w:kern w:val="0"/>
                <w:sz w:val="22"/>
                <w:szCs w:val="22"/>
                <w:u w:val="none"/>
                <w:lang w:val="en-US" w:eastAsia="zh-CN" w:bidi="ar"/>
              </w:rPr>
              <w:t>,</w:t>
            </w:r>
            <w:r>
              <w:rPr>
                <w:rFonts w:hint="default" w:eastAsia="SimSun" w:cs="Times New Roman"/>
                <w:i w:val="0"/>
                <w:color w:val="000000"/>
                <w:kern w:val="0"/>
                <w:sz w:val="22"/>
                <w:szCs w:val="22"/>
                <w:u w:val="none"/>
                <w:lang w:val="lt-LT" w:eastAsia="zh-CN" w:bidi="ar"/>
              </w:rPr>
              <w:t>5</w:t>
            </w:r>
            <w:r>
              <w:rPr>
                <w:rFonts w:hint="default" w:ascii="Times New Roman" w:hAnsi="Times New Roman" w:eastAsia="SimSun" w:cs="Times New Roman"/>
                <w:i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70"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 </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 </w:t>
            </w:r>
          </w:p>
        </w:tc>
        <w:tc>
          <w:tcPr>
            <w:tcW w:w="280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 </w:t>
            </w:r>
          </w:p>
        </w:tc>
        <w:tc>
          <w:tcPr>
            <w:tcW w:w="6633" w:type="dxa"/>
            <w:gridSpan w:val="10"/>
            <w:tcBorders>
              <w:top w:val="single" w:color="auto" w:sz="4" w:space="0"/>
              <w:left w:val="nil"/>
              <w:bottom w:val="single" w:color="auto" w:sz="4" w:space="0"/>
              <w:right w:val="single" w:color="000000"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 xml:space="preserve">PVM </w:t>
            </w:r>
            <w:r>
              <w:rPr>
                <w:rFonts w:hint="default" w:eastAsia="Times New Roman"/>
                <w:b/>
                <w:bCs/>
                <w:color w:val="000000"/>
                <w:sz w:val="22"/>
                <w:szCs w:val="22"/>
                <w:lang w:val="en-US" w:eastAsia="lt-LT"/>
              </w:rPr>
              <w:t xml:space="preserve">21 </w:t>
            </w:r>
            <w:r>
              <w:rPr>
                <w:rFonts w:eastAsia="Times New Roman"/>
                <w:b/>
                <w:bCs/>
                <w:color w:val="000000"/>
                <w:sz w:val="22"/>
                <w:szCs w:val="22"/>
                <w:lang w:val="lt-LT" w:eastAsia="lt-LT"/>
              </w:rPr>
              <w:t>% suma</w:t>
            </w:r>
          </w:p>
        </w:tc>
        <w:tc>
          <w:tcPr>
            <w:tcW w:w="132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757</w:t>
            </w:r>
            <w:r>
              <w:rPr>
                <w:rFonts w:hint="default" w:eastAsia="SimSun" w:cs="Times New Roman"/>
                <w:i w:val="0"/>
                <w:color w:val="000000"/>
                <w:kern w:val="0"/>
                <w:sz w:val="22"/>
                <w:szCs w:val="22"/>
                <w:u w:val="none"/>
                <w:lang w:val="lt-LT" w:eastAsia="zh-CN" w:bidi="ar"/>
              </w:rPr>
              <w:t>1</w:t>
            </w:r>
            <w:r>
              <w:rPr>
                <w:rFonts w:hint="default" w:ascii="Times New Roman" w:hAnsi="Times New Roman" w:eastAsia="SimSun" w:cs="Times New Roman"/>
                <w:i w:val="0"/>
                <w:color w:val="000000"/>
                <w:kern w:val="0"/>
                <w:sz w:val="22"/>
                <w:szCs w:val="22"/>
                <w:u w:val="none"/>
                <w:lang w:val="en-US" w:eastAsia="zh-CN" w:bidi="ar"/>
              </w:rPr>
              <w:t>,</w:t>
            </w:r>
            <w:r>
              <w:rPr>
                <w:rFonts w:hint="default" w:eastAsia="SimSun" w:cs="Times New Roman"/>
                <w:i w:val="0"/>
                <w:color w:val="000000"/>
                <w:kern w:val="0"/>
                <w:sz w:val="22"/>
                <w:szCs w:val="22"/>
                <w:u w:val="none"/>
                <w:lang w:val="lt-LT" w:eastAsia="zh-CN" w:bidi="ar"/>
              </w:rPr>
              <w:t>03</w:t>
            </w:r>
          </w:p>
        </w:tc>
      </w:tr>
      <w:tr>
        <w:tblPrEx>
          <w:tblCellMar>
            <w:top w:w="0" w:type="dxa"/>
            <w:left w:w="108" w:type="dxa"/>
            <w:bottom w:w="0" w:type="dxa"/>
            <w:right w:w="108" w:type="dxa"/>
          </w:tblCellMar>
        </w:tblPrEx>
        <w:trPr>
          <w:trHeight w:val="345" w:hRule="atLeast"/>
        </w:trPr>
        <w:tc>
          <w:tcPr>
            <w:tcW w:w="13697" w:type="dxa"/>
            <w:gridSpan w:val="15"/>
            <w:tcBorders>
              <w:top w:val="single" w:color="auto" w:sz="4" w:space="0"/>
              <w:left w:val="single" w:color="auto" w:sz="4" w:space="0"/>
              <w:bottom w:val="single" w:color="auto" w:sz="4" w:space="0"/>
              <w:right w:val="single" w:color="000000"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Preliminari suma 1 pirkimo daliai Eur su PVM</w:t>
            </w:r>
          </w:p>
        </w:tc>
        <w:tc>
          <w:tcPr>
            <w:tcW w:w="132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436</w:t>
            </w:r>
            <w:r>
              <w:rPr>
                <w:rFonts w:hint="default" w:eastAsia="SimSun" w:cs="Times New Roman"/>
                <w:i w:val="0"/>
                <w:color w:val="000000"/>
                <w:kern w:val="0"/>
                <w:sz w:val="22"/>
                <w:szCs w:val="22"/>
                <w:u w:val="none"/>
                <w:lang w:val="lt-LT" w:eastAsia="zh-CN" w:bidi="ar"/>
              </w:rPr>
              <w:t>23</w:t>
            </w:r>
            <w:r>
              <w:rPr>
                <w:rFonts w:hint="default" w:ascii="Times New Roman" w:hAnsi="Times New Roman" w:eastAsia="SimSun" w:cs="Times New Roman"/>
                <w:i w:val="0"/>
                <w:color w:val="000000"/>
                <w:kern w:val="0"/>
                <w:sz w:val="22"/>
                <w:szCs w:val="22"/>
                <w:u w:val="none"/>
                <w:lang w:val="en-US" w:eastAsia="zh-CN" w:bidi="ar"/>
              </w:rPr>
              <w:t>,</w:t>
            </w:r>
            <w:r>
              <w:rPr>
                <w:rFonts w:hint="default" w:eastAsia="SimSun" w:cs="Times New Roman"/>
                <w:i w:val="0"/>
                <w:color w:val="000000"/>
                <w:kern w:val="0"/>
                <w:sz w:val="22"/>
                <w:szCs w:val="22"/>
                <w:u w:val="none"/>
                <w:lang w:val="lt-LT" w:eastAsia="zh-CN" w:bidi="ar"/>
              </w:rPr>
              <w:t>53</w:t>
            </w:r>
            <w:bookmarkStart w:id="0" w:name="_GoBack"/>
            <w:bookmarkEnd w:id="0"/>
          </w:p>
        </w:tc>
      </w:tr>
      <w:tr>
        <w:tblPrEx>
          <w:tblCellMar>
            <w:top w:w="0" w:type="dxa"/>
            <w:left w:w="108" w:type="dxa"/>
            <w:bottom w:w="0" w:type="dxa"/>
            <w:right w:w="108" w:type="dxa"/>
          </w:tblCellMar>
        </w:tblPrEx>
        <w:trPr>
          <w:gridAfter w:val="1"/>
          <w:wAfter w:w="10" w:type="dxa"/>
          <w:trHeight w:val="420" w:hRule="atLeast"/>
        </w:trPr>
        <w:tc>
          <w:tcPr>
            <w:tcW w:w="644" w:type="dxa"/>
            <w:tcBorders>
              <w:top w:val="nil"/>
              <w:left w:val="nil"/>
              <w:bottom w:val="nil"/>
              <w:right w:val="nil"/>
            </w:tcBorders>
            <w:shd w:val="clear" w:color="auto" w:fill="auto"/>
            <w:noWrap/>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sz w:val="20"/>
                <w:szCs w:val="20"/>
                <w:lang w:val="lt-LT" w:eastAsia="lt-LT"/>
              </w:rPr>
            </w:pPr>
          </w:p>
        </w:tc>
        <w:tc>
          <w:tcPr>
            <w:tcW w:w="3615" w:type="dxa"/>
            <w:gridSpan w:val="2"/>
            <w:tcBorders>
              <w:top w:val="nil"/>
              <w:left w:val="nil"/>
              <w:bottom w:val="nil"/>
              <w:right w:val="nil"/>
            </w:tcBorders>
            <w:shd w:val="clear" w:color="auto" w:fill="auto"/>
            <w:noWrap/>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2 pirkimo dalis. GLAISTAS, GIPSAS, KREIDA</w:t>
            </w:r>
          </w:p>
        </w:tc>
        <w:tc>
          <w:tcPr>
            <w:tcW w:w="2805" w:type="dxa"/>
            <w:gridSpan w:val="2"/>
            <w:tcBorders>
              <w:top w:val="nil"/>
              <w:left w:val="nil"/>
              <w:bottom w:val="nil"/>
              <w:right w:val="nil"/>
            </w:tcBorders>
            <w:shd w:val="clear" w:color="auto" w:fill="auto"/>
            <w:noWrap/>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p>
        </w:tc>
        <w:tc>
          <w:tcPr>
            <w:tcW w:w="2826" w:type="dxa"/>
            <w:tcBorders>
              <w:top w:val="nil"/>
              <w:left w:val="nil"/>
              <w:bottom w:val="nil"/>
              <w:right w:val="nil"/>
            </w:tcBorders>
            <w:shd w:val="clear" w:color="auto" w:fill="auto"/>
            <w:noWrap/>
          </w:tcPr>
          <w:p>
            <w:pPr>
              <w:pBdr>
                <w:top w:val="none" w:color="auto" w:sz="0" w:space="0"/>
                <w:left w:val="none" w:color="auto" w:sz="0" w:space="0"/>
                <w:bottom w:val="none" w:color="auto" w:sz="0" w:space="0"/>
                <w:right w:val="none" w:color="auto" w:sz="0" w:space="0"/>
                <w:between w:val="none" w:color="auto" w:sz="0" w:space="0"/>
              </w:pBdr>
              <w:rPr>
                <w:rFonts w:eastAsia="Times New Roman"/>
                <w:sz w:val="20"/>
                <w:szCs w:val="20"/>
                <w:lang w:val="lt-LT" w:eastAsia="lt-LT"/>
              </w:rPr>
            </w:pPr>
          </w:p>
        </w:tc>
        <w:tc>
          <w:tcPr>
            <w:tcW w:w="1114" w:type="dxa"/>
            <w:gridSpan w:val="2"/>
            <w:tcBorders>
              <w:top w:val="nil"/>
              <w:left w:val="nil"/>
              <w:bottom w:val="nil"/>
              <w:right w:val="nil"/>
            </w:tcBorders>
            <w:shd w:val="clear" w:color="auto" w:fill="auto"/>
            <w:noWrap/>
          </w:tcPr>
          <w:p>
            <w:pPr>
              <w:pBdr>
                <w:top w:val="none" w:color="auto" w:sz="0" w:space="0"/>
                <w:left w:val="none" w:color="auto" w:sz="0" w:space="0"/>
                <w:bottom w:val="none" w:color="auto" w:sz="0" w:space="0"/>
                <w:right w:val="none" w:color="auto" w:sz="0" w:space="0"/>
                <w:between w:val="none" w:color="auto" w:sz="0" w:space="0"/>
              </w:pBdr>
              <w:rPr>
                <w:rFonts w:eastAsia="Times New Roman"/>
                <w:sz w:val="20"/>
                <w:szCs w:val="20"/>
                <w:lang w:val="lt-LT" w:eastAsia="lt-LT"/>
              </w:rPr>
            </w:pPr>
          </w:p>
        </w:tc>
        <w:tc>
          <w:tcPr>
            <w:tcW w:w="681" w:type="dxa"/>
            <w:gridSpan w:val="2"/>
            <w:tcBorders>
              <w:top w:val="nil"/>
              <w:left w:val="nil"/>
              <w:bottom w:val="nil"/>
              <w:right w:val="nil"/>
            </w:tcBorders>
            <w:shd w:val="clear" w:color="auto" w:fill="auto"/>
            <w:noWrap/>
          </w:tcPr>
          <w:p>
            <w:pPr>
              <w:pBdr>
                <w:top w:val="none" w:color="auto" w:sz="0" w:space="0"/>
                <w:left w:val="none" w:color="auto" w:sz="0" w:space="0"/>
                <w:bottom w:val="none" w:color="auto" w:sz="0" w:space="0"/>
                <w:right w:val="none" w:color="auto" w:sz="0" w:space="0"/>
                <w:between w:val="none" w:color="auto" w:sz="0" w:space="0"/>
              </w:pBdr>
              <w:rPr>
                <w:rFonts w:eastAsia="Times New Roman"/>
                <w:sz w:val="20"/>
                <w:szCs w:val="20"/>
                <w:lang w:val="lt-LT" w:eastAsia="lt-LT"/>
              </w:rPr>
            </w:pPr>
          </w:p>
        </w:tc>
        <w:tc>
          <w:tcPr>
            <w:tcW w:w="999" w:type="dxa"/>
            <w:gridSpan w:val="2"/>
            <w:tcBorders>
              <w:top w:val="nil"/>
              <w:left w:val="nil"/>
              <w:bottom w:val="nil"/>
              <w:right w:val="nil"/>
            </w:tcBorders>
            <w:shd w:val="clear" w:color="auto" w:fill="auto"/>
            <w:noWrap/>
          </w:tcPr>
          <w:p>
            <w:pPr>
              <w:pBdr>
                <w:top w:val="none" w:color="auto" w:sz="0" w:space="0"/>
                <w:left w:val="none" w:color="auto" w:sz="0" w:space="0"/>
                <w:bottom w:val="none" w:color="auto" w:sz="0" w:space="0"/>
                <w:right w:val="none" w:color="auto" w:sz="0" w:space="0"/>
                <w:between w:val="none" w:color="auto" w:sz="0" w:space="0"/>
              </w:pBdr>
              <w:rPr>
                <w:rFonts w:eastAsia="Times New Roman"/>
                <w:sz w:val="20"/>
                <w:szCs w:val="20"/>
                <w:lang w:val="lt-LT" w:eastAsia="lt-LT"/>
              </w:rPr>
            </w:pPr>
          </w:p>
        </w:tc>
        <w:tc>
          <w:tcPr>
            <w:tcW w:w="1003" w:type="dxa"/>
            <w:gridSpan w:val="2"/>
            <w:tcBorders>
              <w:top w:val="nil"/>
              <w:left w:val="nil"/>
              <w:bottom w:val="nil"/>
              <w:right w:val="nil"/>
            </w:tcBorders>
            <w:shd w:val="clear" w:color="auto" w:fill="auto"/>
            <w:noWrap/>
          </w:tcPr>
          <w:p>
            <w:pPr>
              <w:pBdr>
                <w:top w:val="none" w:color="auto" w:sz="0" w:space="0"/>
                <w:left w:val="none" w:color="auto" w:sz="0" w:space="0"/>
                <w:bottom w:val="none" w:color="auto" w:sz="0" w:space="0"/>
                <w:right w:val="none" w:color="auto" w:sz="0" w:space="0"/>
                <w:between w:val="none" w:color="auto" w:sz="0" w:space="0"/>
              </w:pBdr>
              <w:rPr>
                <w:rFonts w:eastAsia="Times New Roman"/>
                <w:sz w:val="20"/>
                <w:szCs w:val="20"/>
                <w:lang w:val="lt-LT" w:eastAsia="lt-LT"/>
              </w:rPr>
            </w:pPr>
          </w:p>
        </w:tc>
        <w:tc>
          <w:tcPr>
            <w:tcW w:w="1326" w:type="dxa"/>
            <w:gridSpan w:val="3"/>
            <w:tcBorders>
              <w:top w:val="nil"/>
              <w:left w:val="nil"/>
              <w:bottom w:val="nil"/>
              <w:right w:val="nil"/>
            </w:tcBorders>
            <w:shd w:val="clear" w:color="auto" w:fill="auto"/>
            <w:noWrap/>
          </w:tcPr>
          <w:p>
            <w:pPr>
              <w:pBdr>
                <w:top w:val="none" w:color="auto" w:sz="0" w:space="0"/>
                <w:left w:val="none" w:color="auto" w:sz="0" w:space="0"/>
                <w:bottom w:val="none" w:color="auto" w:sz="0" w:space="0"/>
                <w:right w:val="none" w:color="auto" w:sz="0" w:space="0"/>
                <w:between w:val="none" w:color="auto" w:sz="0" w:space="0"/>
              </w:pBdr>
              <w:rPr>
                <w:rFonts w:eastAsia="Times New Roman"/>
                <w:sz w:val="20"/>
                <w:szCs w:val="20"/>
                <w:lang w:val="lt-LT" w:eastAsia="lt-LT"/>
              </w:rPr>
            </w:pPr>
          </w:p>
        </w:tc>
      </w:tr>
      <w:tr>
        <w:tblPrEx>
          <w:tblCellMar>
            <w:top w:w="0" w:type="dxa"/>
            <w:left w:w="108" w:type="dxa"/>
            <w:bottom w:w="0" w:type="dxa"/>
            <w:right w:w="108" w:type="dxa"/>
          </w:tblCellMar>
        </w:tblPrEx>
        <w:trPr>
          <w:gridAfter w:val="1"/>
          <w:wAfter w:w="10" w:type="dxa"/>
          <w:trHeight w:val="1150" w:hRule="atLeast"/>
        </w:trPr>
        <w:tc>
          <w:tcPr>
            <w:tcW w:w="644" w:type="dxa"/>
            <w:tcBorders>
              <w:top w:val="single" w:color="auto" w:sz="4" w:space="0"/>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0"/>
                <w:szCs w:val="20"/>
                <w:lang w:val="lt-LT" w:eastAsia="lt-LT"/>
              </w:rPr>
            </w:pPr>
            <w:r>
              <w:rPr>
                <w:rFonts w:eastAsia="Times New Roman"/>
                <w:color w:val="000000"/>
                <w:sz w:val="20"/>
                <w:szCs w:val="20"/>
                <w:lang w:val="lt-LT" w:eastAsia="lt-LT"/>
              </w:rPr>
              <w:t>Eil. Nr.</w:t>
            </w:r>
          </w:p>
        </w:tc>
        <w:tc>
          <w:tcPr>
            <w:tcW w:w="3615" w:type="dxa"/>
            <w:gridSpan w:val="2"/>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0"/>
                <w:szCs w:val="20"/>
                <w:lang w:val="lt-LT" w:eastAsia="lt-LT"/>
              </w:rPr>
            </w:pPr>
            <w:r>
              <w:rPr>
                <w:rFonts w:eastAsia="Times New Roman"/>
                <w:color w:val="000000"/>
                <w:sz w:val="20"/>
                <w:szCs w:val="20"/>
                <w:lang w:val="lt-LT" w:eastAsia="lt-LT"/>
              </w:rPr>
              <w:t>Prekės pavadinimas, Charakteristikos</w:t>
            </w:r>
          </w:p>
        </w:tc>
        <w:tc>
          <w:tcPr>
            <w:tcW w:w="2805" w:type="dxa"/>
            <w:gridSpan w:val="2"/>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ind w:left="-143" w:right="-133"/>
              <w:jc w:val="center"/>
              <w:rPr>
                <w:rFonts w:eastAsia="Times New Roman"/>
                <w:color w:val="000000"/>
                <w:sz w:val="20"/>
                <w:szCs w:val="20"/>
                <w:lang w:val="lt-LT" w:eastAsia="lt-LT"/>
              </w:rPr>
            </w:pPr>
            <w:r>
              <w:rPr>
                <w:rFonts w:eastAsia="Times New Roman"/>
                <w:color w:val="000000"/>
                <w:sz w:val="20"/>
                <w:szCs w:val="20"/>
                <w:lang w:val="lt-LT" w:eastAsia="lt-LT"/>
              </w:rPr>
              <w:t>Siūlomų prekių charakteristikos (su pasiūlymu pateikiami dokumentai, įrodantys reikalavimų atitikimą</w:t>
            </w:r>
          </w:p>
        </w:tc>
        <w:tc>
          <w:tcPr>
            <w:tcW w:w="2826" w:type="dxa"/>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0"/>
                <w:szCs w:val="20"/>
                <w:lang w:val="lt-LT" w:eastAsia="lt-LT"/>
              </w:rPr>
            </w:pPr>
            <w:r>
              <w:rPr>
                <w:rFonts w:eastAsia="Times New Roman"/>
                <w:color w:val="000000"/>
                <w:sz w:val="20"/>
                <w:szCs w:val="20"/>
                <w:lang w:val="lt-LT" w:eastAsia="lt-LT"/>
              </w:rPr>
              <w:t>Gamintojas, modelis, kodas, nuoroda į internetinį psl.</w:t>
            </w:r>
          </w:p>
        </w:tc>
        <w:tc>
          <w:tcPr>
            <w:tcW w:w="1114" w:type="dxa"/>
            <w:gridSpan w:val="2"/>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0"/>
                <w:szCs w:val="20"/>
                <w:lang w:val="lt-LT" w:eastAsia="lt-LT"/>
              </w:rPr>
            </w:pPr>
            <w:r>
              <w:rPr>
                <w:rFonts w:eastAsia="Times New Roman"/>
                <w:color w:val="000000"/>
                <w:sz w:val="20"/>
                <w:szCs w:val="20"/>
                <w:lang w:val="lt-LT" w:eastAsia="lt-LT"/>
              </w:rPr>
              <w:t>Preliminarus kiekis</w:t>
            </w:r>
          </w:p>
        </w:tc>
        <w:tc>
          <w:tcPr>
            <w:tcW w:w="681" w:type="dxa"/>
            <w:gridSpan w:val="2"/>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0"/>
                <w:szCs w:val="20"/>
                <w:lang w:val="lt-LT" w:eastAsia="lt-LT"/>
              </w:rPr>
            </w:pPr>
            <w:r>
              <w:rPr>
                <w:rFonts w:eastAsia="Times New Roman"/>
                <w:color w:val="000000"/>
                <w:sz w:val="20"/>
                <w:szCs w:val="20"/>
                <w:lang w:val="lt-LT" w:eastAsia="lt-LT"/>
              </w:rPr>
              <w:t>Mato vnt</w:t>
            </w:r>
          </w:p>
        </w:tc>
        <w:tc>
          <w:tcPr>
            <w:tcW w:w="999" w:type="dxa"/>
            <w:gridSpan w:val="2"/>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ind w:left="-54"/>
              <w:jc w:val="center"/>
              <w:rPr>
                <w:rFonts w:eastAsia="Times New Roman"/>
                <w:color w:val="000000"/>
                <w:sz w:val="20"/>
                <w:szCs w:val="20"/>
                <w:lang w:val="lt-LT" w:eastAsia="lt-LT"/>
              </w:rPr>
            </w:pPr>
            <w:r>
              <w:rPr>
                <w:rFonts w:eastAsia="Times New Roman"/>
                <w:color w:val="000000"/>
                <w:sz w:val="20"/>
                <w:szCs w:val="20"/>
                <w:lang w:val="lt-LT" w:eastAsia="lt-LT"/>
              </w:rPr>
              <w:t xml:space="preserve">Mato vnt įkainis BE PVM EUR </w:t>
            </w:r>
          </w:p>
        </w:tc>
        <w:tc>
          <w:tcPr>
            <w:tcW w:w="1003" w:type="dxa"/>
            <w:gridSpan w:val="2"/>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ind w:left="-54"/>
              <w:jc w:val="center"/>
              <w:rPr>
                <w:rFonts w:eastAsia="Times New Roman"/>
                <w:color w:val="000000"/>
                <w:sz w:val="20"/>
                <w:szCs w:val="20"/>
                <w:lang w:val="lt-LT" w:eastAsia="lt-LT"/>
              </w:rPr>
            </w:pPr>
            <w:r>
              <w:rPr>
                <w:rFonts w:eastAsia="Times New Roman"/>
                <w:color w:val="000000"/>
                <w:sz w:val="20"/>
                <w:szCs w:val="20"/>
                <w:lang w:val="lt-LT" w:eastAsia="lt-LT"/>
              </w:rPr>
              <w:t xml:space="preserve">Mato vnt įkainis SU PVM EUR </w:t>
            </w:r>
          </w:p>
        </w:tc>
        <w:tc>
          <w:tcPr>
            <w:tcW w:w="1326" w:type="dxa"/>
            <w:gridSpan w:val="3"/>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0"/>
                <w:szCs w:val="20"/>
                <w:lang w:val="lt-LT" w:eastAsia="lt-LT"/>
              </w:rPr>
            </w:pPr>
            <w:r>
              <w:rPr>
                <w:rFonts w:eastAsia="Times New Roman"/>
                <w:color w:val="000000"/>
                <w:sz w:val="20"/>
                <w:szCs w:val="20"/>
                <w:lang w:val="lt-LT" w:eastAsia="lt-LT"/>
              </w:rPr>
              <w:t>Bendra preliminari suma EUR BE PVM</w:t>
            </w:r>
          </w:p>
        </w:tc>
      </w:tr>
      <w:tr>
        <w:tblPrEx>
          <w:tblCellMar>
            <w:top w:w="0" w:type="dxa"/>
            <w:left w:w="108" w:type="dxa"/>
            <w:bottom w:w="0" w:type="dxa"/>
            <w:right w:w="108" w:type="dxa"/>
          </w:tblCellMar>
        </w:tblPrEx>
        <w:trPr>
          <w:gridAfter w:val="1"/>
          <w:wAfter w:w="10" w:type="dxa"/>
          <w:trHeight w:val="2905"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Glaistas. </w:t>
            </w:r>
            <w:r>
              <w:rPr>
                <w:rFonts w:eastAsia="Times New Roman"/>
                <w:color w:val="000000"/>
                <w:sz w:val="22"/>
                <w:szCs w:val="22"/>
                <w:lang w:val="lt-LT" w:eastAsia="lt-LT"/>
              </w:rPr>
              <w:t>Universalus,paruoštas naudojimui, tinkamas glaistyti visus įprastus mineralinius statybinius pagrindus (betonas, gipskartonis, cementinis ar kalkinis bei gipsinis tinkas) nuo 0 iki 3 mm storio sluoksniu. Taip pat naudojamas kaip gipskartonio plokščių siūlių baigiamajam, glaistymui,</w:t>
            </w:r>
            <w:r>
              <w:rPr>
                <w:rFonts w:eastAsia="Times New Roman"/>
                <w:b/>
                <w:bCs/>
                <w:color w:val="FF0000"/>
                <w:sz w:val="22"/>
                <w:szCs w:val="22"/>
                <w:lang w:val="lt-LT" w:eastAsia="lt-LT"/>
              </w:rPr>
              <w:t xml:space="preserve"> </w:t>
            </w:r>
            <w:r>
              <w:rPr>
                <w:rFonts w:eastAsia="Times New Roman"/>
                <w:color w:val="000000"/>
                <w:sz w:val="22"/>
                <w:szCs w:val="22"/>
                <w:lang w:val="lt-LT" w:eastAsia="lt-LT"/>
              </w:rPr>
              <w:t>, pakuotė  kibirai po 28 kg ± 0,5 %.Atitinka standartą EN 13963, tipas 3A</w:t>
            </w:r>
            <w:r>
              <w:rPr>
                <w:rFonts w:eastAsia="Times New Roman"/>
                <w:color w:val="000000"/>
                <w:sz w:val="22"/>
                <w:szCs w:val="22"/>
                <w:lang w:val="lt-LT" w:eastAsia="lt-LT"/>
              </w:rPr>
              <w:br w:type="page"/>
            </w:r>
            <w:r>
              <w:rPr>
                <w:rFonts w:eastAsia="Times New Roman"/>
                <w:color w:val="000000"/>
                <w:sz w:val="22"/>
                <w:szCs w:val="22"/>
                <w:lang w:val="lt-LT" w:eastAsia="lt-LT"/>
              </w:rPr>
              <w:t>Degumo klasė: A2-s1, d0</w:t>
            </w:r>
            <w:r>
              <w:rPr>
                <w:rFonts w:eastAsia="Times New Roman"/>
                <w:color w:val="000000"/>
                <w:sz w:val="22"/>
                <w:szCs w:val="22"/>
                <w:lang w:val="lt-LT" w:eastAsia="lt-LT"/>
              </w:rPr>
              <w:br w:type="page"/>
            </w:r>
            <w:r>
              <w:rPr>
                <w:rFonts w:eastAsia="Times New Roman"/>
                <w:color w:val="000000"/>
                <w:sz w:val="22"/>
                <w:szCs w:val="22"/>
                <w:lang w:val="lt-LT" w:eastAsia="lt-LT"/>
              </w:rPr>
              <w:t>Paviršiaus paruošimo lygis: Q2–Q4</w:t>
            </w:r>
            <w:r>
              <w:rPr>
                <w:rFonts w:eastAsia="Times New Roman"/>
                <w:color w:val="000000"/>
                <w:sz w:val="22"/>
                <w:szCs w:val="22"/>
                <w:lang w:val="lt-LT" w:eastAsia="lt-LT"/>
              </w:rPr>
              <w:br w:type="page"/>
            </w:r>
            <w:r>
              <w:rPr>
                <w:rFonts w:eastAsia="Times New Roman"/>
                <w:color w:val="000000"/>
                <w:sz w:val="22"/>
                <w:szCs w:val="22"/>
                <w:lang w:val="lt-LT" w:eastAsia="lt-LT"/>
              </w:rPr>
              <w:t>Tankis: 1,65 kg/l (1l = 1,65 kg).</w:t>
            </w:r>
            <w:r>
              <w:rPr>
                <w:rFonts w:eastAsia="Times New Roman"/>
                <w:color w:val="000000"/>
                <w:sz w:val="22"/>
                <w:szCs w:val="22"/>
                <w:lang w:val="lt-LT" w:eastAsia="lt-LT"/>
              </w:rPr>
              <w:br w:type="page"/>
            </w:r>
            <w:r>
              <w:rPr>
                <w:rFonts w:eastAsia="Times New Roman"/>
                <w:color w:val="000000"/>
                <w:sz w:val="22"/>
                <w:szCs w:val="22"/>
                <w:lang w:val="lt-LT" w:eastAsia="lt-LT"/>
              </w:rPr>
              <w:t>Vieno 2 mm sluoksnio džiūvimas – apie 24 val.</w:t>
            </w:r>
            <w:r>
              <w:rPr>
                <w:rFonts w:eastAsia="Times New Roman"/>
                <w:color w:val="000000"/>
                <w:sz w:val="22"/>
                <w:szCs w:val="22"/>
                <w:lang w:val="lt-LT" w:eastAsia="lt-LT"/>
              </w:rPr>
              <w:br w:type="page"/>
            </w:r>
            <w:r>
              <w:rPr>
                <w:rFonts w:eastAsia="Times New Roman"/>
                <w:color w:val="000000"/>
                <w:sz w:val="22"/>
                <w:szCs w:val="22"/>
                <w:lang w:val="lt-LT" w:eastAsia="lt-LT"/>
              </w:rPr>
              <w:t>Sąnaudos: siūlių užpildymas (AK briauna) - apie 0,2 kg/m²; baigiamasis siūlių glaistymas - apie 0,1 kg/m²; plokštumos glaistymas - 1,2 kg/m² 1mm storio sluoksniu</w:t>
            </w:r>
            <w:r>
              <w:rPr>
                <w:rFonts w:eastAsia="Times New Roman"/>
                <w:color w:val="000000"/>
                <w:sz w:val="22"/>
                <w:szCs w:val="22"/>
                <w:lang w:val="lt-LT" w:eastAsia="lt-LT"/>
              </w:rPr>
              <w:br w:type="page"/>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Universalusis glaistas Knauf Super Finish, skirtas glaistyti visus įprastus mineralinius statybinius pagrindus (betonas, gipskartonis, cementinis ar kalkinis bei gipsinis tinkas) nuo 0 iki 3 mm storio sluoksniu, pakuotė 28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eastAsia="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Knauf Super Finish</w:t>
            </w:r>
            <w:r>
              <w:rPr>
                <w:rFonts w:hint="default" w:eastAsia="SimSun" w:cs="Times New Roman"/>
                <w:i w:val="0"/>
                <w:color w:val="000000"/>
                <w:kern w:val="0"/>
                <w:sz w:val="22"/>
                <w:szCs w:val="22"/>
                <w:u w:val="none"/>
                <w:lang w:val="lt-LT" w:eastAsia="zh-CN" w:bidi="ar"/>
              </w:rPr>
              <w:t xml:space="preserve">, </w:t>
            </w:r>
            <w:r>
              <w:rPr>
                <w:rFonts w:eastAsia="Times New Roman"/>
                <w:color w:val="000000"/>
                <w:sz w:val="22"/>
                <w:szCs w:val="22"/>
                <w:lang w:val="lt-LT" w:eastAsia="lt-LT"/>
              </w:rPr>
              <w:t> </w:t>
            </w:r>
            <w:r>
              <w:rPr>
                <w:rFonts w:hint="default" w:ascii="Times New Roman" w:hAnsi="Times New Roman" w:eastAsia="SimSun" w:cs="Times New Roman"/>
                <w:i w:val="0"/>
                <w:color w:val="000000"/>
                <w:kern w:val="0"/>
                <w:sz w:val="22"/>
                <w:szCs w:val="22"/>
                <w:u w:val="none"/>
                <w:lang w:val="en-US" w:eastAsia="zh-CN" w:bidi="ar"/>
              </w:rPr>
              <w:t>"https://www.knauf.lt/produktai-ir-sistemos/produktu-a-z/super-finish.html?gclid=EAIaIQobChMIsfLj8sCd7AIVRemyCh1Tgg8OEAAYASAAEgLKGPD_BwE"</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2660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0,72</w:t>
            </w:r>
          </w:p>
        </w:tc>
        <w:tc>
          <w:tcPr>
            <w:tcW w:w="100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0,87</w:t>
            </w:r>
          </w:p>
        </w:tc>
        <w:tc>
          <w:tcPr>
            <w:tcW w:w="132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b/>
                <w:bCs/>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1915,20</w:t>
            </w:r>
          </w:p>
        </w:tc>
      </w:tr>
      <w:tr>
        <w:tblPrEx>
          <w:tblCellMar>
            <w:top w:w="0" w:type="dxa"/>
            <w:left w:w="108" w:type="dxa"/>
            <w:bottom w:w="0" w:type="dxa"/>
            <w:right w:w="108" w:type="dxa"/>
          </w:tblCellMar>
        </w:tblPrEx>
        <w:trPr>
          <w:gridAfter w:val="1"/>
          <w:wAfter w:w="10" w:type="dxa"/>
          <w:trHeight w:val="1549"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2</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Glaistas.</w:t>
            </w:r>
            <w:r>
              <w:rPr>
                <w:rFonts w:eastAsia="Times New Roman"/>
                <w:color w:val="000000"/>
                <w:sz w:val="22"/>
                <w:szCs w:val="22"/>
                <w:lang w:val="lt-LT" w:eastAsia="lt-LT"/>
              </w:rPr>
              <w:t xml:space="preserve"> Polimerinis, elastingas, smulkus, baltos spalvos, skirtas galutiniam kalkinių, cementinių, gipsinių bei gipso kartono paviršių glaistymui. Tinka glaistyti sienas bei lubas sausose patalpose, užpildas - kalkakmenis frakcija0,2 mm, rišiklis polimeras, užmaišytą galima naudoti 48 val.išeiga glaistant sienas - 1,2 kg/m</w:t>
            </w:r>
            <w:r>
              <w:rPr>
                <w:rFonts w:ascii="Calibri" w:hAnsi="Calibri" w:eastAsia="Times New Roman" w:cs="Calibri"/>
                <w:color w:val="000000"/>
                <w:sz w:val="22"/>
                <w:szCs w:val="22"/>
                <w:lang w:val="lt-LT" w:eastAsia="lt-LT"/>
              </w:rPr>
              <w:t>²</w:t>
            </w:r>
            <w:r>
              <w:rPr>
                <w:rFonts w:eastAsia="Times New Roman"/>
                <w:color w:val="000000"/>
                <w:sz w:val="22"/>
                <w:szCs w:val="22"/>
                <w:lang w:val="lt-LT" w:eastAsia="lt-LT"/>
              </w:rPr>
              <w:t>, siules 0,1 - 0,2 kg/m</w:t>
            </w:r>
            <w:r>
              <w:rPr>
                <w:rFonts w:ascii="Calibri" w:hAnsi="Calibri" w:eastAsia="Times New Roman" w:cs="Calibri"/>
                <w:color w:val="000000"/>
                <w:sz w:val="22"/>
                <w:szCs w:val="22"/>
                <w:lang w:val="lt-LT" w:eastAsia="lt-LT"/>
              </w:rPr>
              <w:t>²</w:t>
            </w:r>
            <w:r>
              <w:rPr>
                <w:rFonts w:eastAsia="Times New Roman"/>
                <w:color w:val="000000"/>
                <w:sz w:val="22"/>
                <w:szCs w:val="22"/>
                <w:lang w:val="lt-LT" w:eastAsia="lt-LT"/>
              </w:rPr>
              <w:t>.</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Glaistas polimerinis weber.vetonit JS (Siloite), tinka glaistyti sienas bei lubas sausose patalpose, skirtas galutiniam kalkinių, cementinių, gipsinių bei gipso kartono paviršių glaistymui, pakuotė 15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lt-LT" w:eastAsia="lt-LT"/>
              </w:rPr>
            </w:pPr>
            <w:r>
              <w:rPr>
                <w:rFonts w:hint="default" w:eastAsia="Times New Roman"/>
                <w:color w:val="000000"/>
                <w:sz w:val="22"/>
                <w:szCs w:val="22"/>
                <w:lang w:val="en-US" w:eastAsia="lt-LT"/>
              </w:rPr>
              <w:t>W</w:t>
            </w:r>
            <w:r>
              <w:rPr>
                <w:rFonts w:hint="default" w:ascii="Times New Roman" w:hAnsi="Times New Roman" w:eastAsia="SimSun" w:cs="Times New Roman"/>
                <w:i w:val="0"/>
                <w:color w:val="000000"/>
                <w:kern w:val="0"/>
                <w:sz w:val="22"/>
                <w:szCs w:val="22"/>
                <w:u w:val="none"/>
                <w:lang w:val="en-US" w:eastAsia="zh-CN" w:bidi="ar"/>
              </w:rPr>
              <w:t>eber</w:t>
            </w:r>
            <w:r>
              <w:rPr>
                <w:rFonts w:hint="default" w:eastAsia="SimSun" w:cs="Times New Roman"/>
                <w:i w:val="0"/>
                <w:color w:val="000000"/>
                <w:kern w:val="0"/>
                <w:sz w:val="22"/>
                <w:szCs w:val="22"/>
                <w:u w:val="none"/>
                <w:lang w:val="lt-LT" w:eastAsia="zh-CN" w:bidi="ar"/>
              </w:rPr>
              <w:t xml:space="preserve"> V</w:t>
            </w:r>
            <w:r>
              <w:rPr>
                <w:rFonts w:hint="default" w:ascii="Times New Roman" w:hAnsi="Times New Roman" w:eastAsia="SimSun" w:cs="Times New Roman"/>
                <w:i w:val="0"/>
                <w:color w:val="000000"/>
                <w:kern w:val="0"/>
                <w:sz w:val="22"/>
                <w:szCs w:val="22"/>
                <w:u w:val="none"/>
                <w:lang w:val="en-US" w:eastAsia="zh-CN" w:bidi="ar"/>
              </w:rPr>
              <w:t>etonit JS</w:t>
            </w:r>
            <w:r>
              <w:rPr>
                <w:rFonts w:hint="default" w:eastAsia="SimSun" w:cs="Times New Roman"/>
                <w:i w:val="0"/>
                <w:color w:val="000000"/>
                <w:kern w:val="0"/>
                <w:sz w:val="22"/>
                <w:szCs w:val="22"/>
                <w:u w:val="none"/>
                <w:lang w:val="lt-LT"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"https://www.lt.weber/glaistai-ir-tinkai/tinkavimo-sistemos/webervetonit-js"</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11000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0,74</w:t>
            </w:r>
          </w:p>
        </w:tc>
        <w:tc>
          <w:tcPr>
            <w:tcW w:w="100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0,90</w:t>
            </w:r>
          </w:p>
        </w:tc>
        <w:tc>
          <w:tcPr>
            <w:tcW w:w="132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b/>
                <w:bCs/>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8140,00</w:t>
            </w:r>
          </w:p>
        </w:tc>
      </w:tr>
      <w:tr>
        <w:tblPrEx>
          <w:tblCellMar>
            <w:top w:w="0" w:type="dxa"/>
            <w:left w:w="108" w:type="dxa"/>
            <w:bottom w:w="0" w:type="dxa"/>
            <w:right w:w="108" w:type="dxa"/>
          </w:tblCellMar>
        </w:tblPrEx>
        <w:trPr>
          <w:gridAfter w:val="1"/>
          <w:wAfter w:w="10" w:type="dxa"/>
          <w:trHeight w:val="663"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3</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Glaistas.</w:t>
            </w:r>
            <w:r>
              <w:rPr>
                <w:rFonts w:eastAsia="Times New Roman"/>
                <w:color w:val="000000"/>
                <w:sz w:val="22"/>
                <w:szCs w:val="22"/>
                <w:lang w:val="lt-LT" w:eastAsia="lt-LT"/>
              </w:rPr>
              <w:t xml:space="preserve"> Polimerinis, marmuro užpildu, baltos spalvos, greitai džiūstantis,  vidaus apdailos darbams, pakuotė - kibirai po 16 kg. ± 0,5 %</w:t>
            </w:r>
            <w:r>
              <w:rPr>
                <w:rFonts w:eastAsia="Times New Roman"/>
                <w:b/>
                <w:bCs/>
                <w:color w:val="000000"/>
                <w:sz w:val="22"/>
                <w:szCs w:val="22"/>
                <w:lang w:val="lt-LT" w:eastAsia="lt-LT"/>
              </w:rPr>
              <w:t>.</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Glaistas Briko , su marmuro užpildu, balta, skirtas vidaus apdailos darbams, pakuotė 16 kg</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eastAsia="Times New Roman"/>
                <w:color w:val="000000"/>
                <w:sz w:val="22"/>
                <w:szCs w:val="22"/>
                <w:lang w:val="lt-LT" w:eastAsia="lt-LT"/>
              </w:rPr>
            </w:pPr>
            <w:r>
              <w:rPr>
                <w:rFonts w:hint="default" w:eastAsia="Times New Roman"/>
                <w:color w:val="000000"/>
                <w:sz w:val="22"/>
                <w:szCs w:val="22"/>
                <w:lang w:val="en-US" w:eastAsia="lt-LT"/>
              </w:rPr>
              <w:t>Gamintojas Briko</w:t>
            </w:r>
            <w:r>
              <w:rPr>
                <w:rFonts w:eastAsia="Times New Roman"/>
                <w:color w:val="000000"/>
                <w:sz w:val="22"/>
                <w:szCs w:val="22"/>
                <w:lang w:val="lt-LT" w:eastAsia="lt-LT"/>
              </w:rPr>
              <w:t> </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4800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0,91</w:t>
            </w:r>
          </w:p>
        </w:tc>
        <w:tc>
          <w:tcPr>
            <w:tcW w:w="100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1,10</w:t>
            </w:r>
          </w:p>
        </w:tc>
        <w:tc>
          <w:tcPr>
            <w:tcW w:w="132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b/>
                <w:bCs/>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4368,00</w:t>
            </w:r>
          </w:p>
        </w:tc>
      </w:tr>
      <w:tr>
        <w:tblPrEx>
          <w:tblCellMar>
            <w:top w:w="0" w:type="dxa"/>
            <w:left w:w="108" w:type="dxa"/>
            <w:bottom w:w="0" w:type="dxa"/>
            <w:right w:w="108" w:type="dxa"/>
          </w:tblCellMar>
        </w:tblPrEx>
        <w:trPr>
          <w:gridAfter w:val="1"/>
          <w:wAfter w:w="10" w:type="dxa"/>
          <w:trHeight w:val="1200"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4</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color w:val="000000"/>
                <w:sz w:val="22"/>
                <w:szCs w:val="22"/>
                <w:lang w:val="lt-LT" w:eastAsia="lt-LT"/>
              </w:rPr>
            </w:pPr>
            <w:r>
              <w:rPr>
                <w:rFonts w:eastAsia="Times New Roman"/>
                <w:b/>
                <w:bCs/>
                <w:color w:val="000000"/>
                <w:sz w:val="22"/>
                <w:szCs w:val="22"/>
                <w:lang w:val="lt-LT" w:eastAsia="lt-LT"/>
              </w:rPr>
              <w:t>Glaistas</w:t>
            </w:r>
            <w:r>
              <w:rPr>
                <w:rFonts w:eastAsia="Times New Roman"/>
                <w:color w:val="000000"/>
                <w:sz w:val="22"/>
                <w:szCs w:val="22"/>
                <w:lang w:val="lt-LT" w:eastAsia="lt-LT"/>
              </w:rPr>
              <w:t>. Lateksinis-polimerinis su kreidos užpildu, elastingas, greitai džiūstantis, vidaus patalpų betoninių ir tinkuotų paviršių išlyginimui prieš dažant juos vandens dispersiniais, aliejiniais, akriliniais ar lateksiniais dažais, pakuotė - maišai po 28 kg ±0,5%.</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Glaistas IGIS MR marmuro užpildu, skirtas pastatų vidaus apdailos darbams: betoninių, tinkuotų, gipskartonio plokščių ir kitų mineralinių paviršių išlyginimui prieš dažymą vandeniniais dispersiniais dažais bei tapetavimą. Rekomenduojamas baigiamajam sluoksniui, greitai džiūstantis, pakuotė 28 kg maiš.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I</w:t>
            </w:r>
            <w:r>
              <w:rPr>
                <w:rFonts w:hint="default" w:eastAsia="SimSun" w:cs="Times New Roman"/>
                <w:i w:val="0"/>
                <w:color w:val="000000"/>
                <w:kern w:val="0"/>
                <w:sz w:val="22"/>
                <w:szCs w:val="22"/>
                <w:u w:val="none"/>
                <w:lang w:val="lt-LT" w:eastAsia="zh-CN" w:bidi="ar"/>
              </w:rPr>
              <w:t>gis</w:t>
            </w:r>
            <w:r>
              <w:rPr>
                <w:rFonts w:hint="default" w:ascii="Times New Roman" w:hAnsi="Times New Roman" w:eastAsia="SimSun" w:cs="Times New Roman"/>
                <w:i w:val="0"/>
                <w:color w:val="000000"/>
                <w:kern w:val="0"/>
                <w:sz w:val="22"/>
                <w:szCs w:val="22"/>
                <w:u w:val="none"/>
                <w:lang w:val="en-US" w:eastAsia="zh-CN" w:bidi="ar"/>
              </w:rPr>
              <w:t xml:space="preserve"> MR</w:t>
            </w:r>
            <w:r>
              <w:rPr>
                <w:rFonts w:hint="default" w:eastAsia="SimSun" w:cs="Times New Roman"/>
                <w:i w:val="0"/>
                <w:color w:val="000000"/>
                <w:kern w:val="0"/>
                <w:sz w:val="22"/>
                <w:szCs w:val="22"/>
                <w:u w:val="none"/>
                <w:lang w:val="lt-LT"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"https://www.igis.lt/product/sample-product/glaistas-igis-mr/"</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1000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0,55</w:t>
            </w:r>
          </w:p>
        </w:tc>
        <w:tc>
          <w:tcPr>
            <w:tcW w:w="100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0,67</w:t>
            </w:r>
          </w:p>
        </w:tc>
        <w:tc>
          <w:tcPr>
            <w:tcW w:w="132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b/>
                <w:bCs/>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550,00</w:t>
            </w:r>
          </w:p>
        </w:tc>
      </w:tr>
      <w:tr>
        <w:tblPrEx>
          <w:tblCellMar>
            <w:top w:w="0" w:type="dxa"/>
            <w:left w:w="108" w:type="dxa"/>
            <w:bottom w:w="0" w:type="dxa"/>
            <w:right w:w="108" w:type="dxa"/>
          </w:tblCellMar>
        </w:tblPrEx>
        <w:trPr>
          <w:gridAfter w:val="1"/>
          <w:wAfter w:w="10" w:type="dxa"/>
          <w:trHeight w:val="843"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5</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ind w:right="-213"/>
              <w:rPr>
                <w:rFonts w:eastAsia="Times New Roman"/>
                <w:color w:val="000000"/>
                <w:sz w:val="22"/>
                <w:szCs w:val="22"/>
                <w:lang w:val="lt-LT" w:eastAsia="lt-LT"/>
              </w:rPr>
            </w:pPr>
            <w:r>
              <w:rPr>
                <w:rFonts w:eastAsia="Times New Roman"/>
                <w:b/>
                <w:bCs/>
                <w:color w:val="000000"/>
                <w:sz w:val="22"/>
                <w:szCs w:val="22"/>
                <w:lang w:val="lt-LT" w:eastAsia="lt-LT"/>
              </w:rPr>
              <w:t xml:space="preserve">Glaistas. </w:t>
            </w:r>
            <w:r>
              <w:rPr>
                <w:rFonts w:eastAsia="Times New Roman"/>
                <w:color w:val="000000"/>
                <w:sz w:val="22"/>
                <w:szCs w:val="22"/>
                <w:lang w:val="lt-LT" w:eastAsia="lt-LT"/>
              </w:rPr>
              <w:t>Smulkiagrūdis, šviesiai mėlynos  spalvos, sausoms ir drėgnoms patalpoms glaistyti, akrilo kopolimero pagrindu.  pakuotė - plastikinis kibirėlis, talpa 0,5 L / 2,5 L / 10L ±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Glaistas Aqualux drėgnom patalpom, skirta tinkuotų, betoninių, gipso kartono ir kitų mineralinių paviršių išlyginimui drėgnose patalpose, spalva balta, pakuotė 1,5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eastAsia="Times New Roman"/>
                <w:color w:val="000000"/>
                <w:sz w:val="22"/>
                <w:szCs w:val="22"/>
                <w:lang w:val="lt-LT" w:eastAsia="lt-LT"/>
              </w:rPr>
            </w:pPr>
            <w:r>
              <w:rPr>
                <w:rFonts w:hint="default" w:eastAsia="Times New Roman"/>
                <w:color w:val="000000"/>
                <w:sz w:val="22"/>
                <w:szCs w:val="22"/>
                <w:lang w:val="en-US" w:eastAsia="lt-LT"/>
              </w:rPr>
              <w:t xml:space="preserve">Gamintojas </w:t>
            </w:r>
            <w:r>
              <w:rPr>
                <w:rFonts w:hint="default" w:ascii="Times New Roman" w:hAnsi="Times New Roman" w:eastAsia="SimSun" w:cs="Times New Roman"/>
                <w:i w:val="0"/>
                <w:color w:val="000000"/>
                <w:kern w:val="0"/>
                <w:sz w:val="22"/>
                <w:szCs w:val="22"/>
                <w:u w:val="none"/>
                <w:lang w:val="en-US" w:eastAsia="zh-CN" w:bidi="ar"/>
              </w:rPr>
              <w:t>Aqualux</w:t>
            </w:r>
            <w:r>
              <w:rPr>
                <w:rFonts w:hint="default" w:eastAsia="SimSun" w:cs="Times New Roman"/>
                <w:i w:val="0"/>
                <w:color w:val="000000"/>
                <w:kern w:val="0"/>
                <w:sz w:val="22"/>
                <w:szCs w:val="22"/>
                <w:u w:val="none"/>
                <w:lang w:val="lt-LT" w:eastAsia="zh-CN" w:bidi="ar"/>
              </w:rPr>
              <w:t xml:space="preserve">, </w:t>
            </w:r>
            <w:r>
              <w:rPr>
                <w:rFonts w:eastAsia="Times New Roman"/>
                <w:color w:val="000000"/>
                <w:sz w:val="22"/>
                <w:szCs w:val="22"/>
                <w:lang w:val="lt-LT" w:eastAsia="lt-LT"/>
              </w:rPr>
              <w:t> </w:t>
            </w:r>
            <w:r>
              <w:rPr>
                <w:rFonts w:hint="default" w:ascii="Times New Roman" w:hAnsi="Times New Roman" w:eastAsia="SimSun" w:cs="Times New Roman"/>
                <w:i w:val="0"/>
                <w:color w:val="000000"/>
                <w:kern w:val="0"/>
                <w:sz w:val="22"/>
                <w:szCs w:val="22"/>
                <w:u w:val="none"/>
                <w:lang w:val="en-US" w:eastAsia="zh-CN" w:bidi="ar"/>
              </w:rPr>
              <w:t>"http://www.procolor.lt/lt/plaunami-dazai/specialios-paskirties-dazai/plaunami-dazai-aqualux"</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20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1,43</w:t>
            </w:r>
          </w:p>
        </w:tc>
        <w:tc>
          <w:tcPr>
            <w:tcW w:w="100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1,73</w:t>
            </w:r>
          </w:p>
        </w:tc>
        <w:tc>
          <w:tcPr>
            <w:tcW w:w="132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b/>
                <w:bCs/>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28,60</w:t>
            </w:r>
          </w:p>
        </w:tc>
      </w:tr>
      <w:tr>
        <w:tblPrEx>
          <w:tblCellMar>
            <w:top w:w="0" w:type="dxa"/>
            <w:left w:w="108" w:type="dxa"/>
            <w:bottom w:w="0" w:type="dxa"/>
            <w:right w:w="108" w:type="dxa"/>
          </w:tblCellMar>
        </w:tblPrEx>
        <w:trPr>
          <w:gridAfter w:val="1"/>
          <w:wAfter w:w="10" w:type="dxa"/>
          <w:trHeight w:val="1238"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6</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Glaistas. </w:t>
            </w:r>
            <w:r>
              <w:rPr>
                <w:rFonts w:eastAsia="Times New Roman"/>
                <w:color w:val="000000"/>
                <w:sz w:val="22"/>
                <w:szCs w:val="22"/>
                <w:lang w:val="lt-LT" w:eastAsia="lt-LT"/>
              </w:rPr>
              <w:t>Gipsinis,miltelių formos glaistas skirtas gipso kartono plokščių siūlėms glaistyti kai paviršiaus paruošimo lygis Q1-Q2. Nežymiai nusėda džiudamas, labai didelis siūlių stipris, greitai pasiekia pirminį glaisto stiprį, greitai džiūsta, darbo laikas apie 45 min.  Pakuotė - maišai po 25 kg ± 0,5%.</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Glaistas Knauf Uniflott, skirtas gipskartonio plokščių siūlėms užglaistyti su juostele ar be jos, pakuotė 25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Knauf Uniflot</w:t>
            </w:r>
            <w:r>
              <w:rPr>
                <w:rFonts w:hint="default" w:eastAsia="SimSun" w:cs="Times New Roman"/>
                <w:i w:val="0"/>
                <w:color w:val="000000"/>
                <w:kern w:val="0"/>
                <w:sz w:val="22"/>
                <w:szCs w:val="22"/>
                <w:u w:val="none"/>
                <w:lang w:val="lt-LT" w:eastAsia="zh-CN" w:bidi="ar"/>
              </w:rPr>
              <w:t xml:space="preserve">t, </w:t>
            </w:r>
            <w:r>
              <w:rPr>
                <w:rFonts w:hint="default" w:ascii="Times New Roman" w:hAnsi="Times New Roman" w:eastAsia="SimSun" w:cs="Times New Roman"/>
                <w:i w:val="0"/>
                <w:color w:val="000000"/>
                <w:kern w:val="0"/>
                <w:sz w:val="22"/>
                <w:szCs w:val="22"/>
                <w:u w:val="none"/>
                <w:lang w:val="en-US" w:eastAsia="zh-CN" w:bidi="ar"/>
              </w:rPr>
              <w:t>"https://www.knauf.lt/produktai-ir-sistemos/produktu-a-z/uniflott.html?gclid=EAIaIQobChMIy6_Il8Wd7AIVQ-myCh15NgS5EAAYASAAEgLsnvD_BwE"</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2000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0,88</w:t>
            </w:r>
          </w:p>
        </w:tc>
        <w:tc>
          <w:tcPr>
            <w:tcW w:w="100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1,06</w:t>
            </w:r>
          </w:p>
        </w:tc>
        <w:tc>
          <w:tcPr>
            <w:tcW w:w="132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b/>
                <w:bCs/>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1760,00</w:t>
            </w:r>
          </w:p>
        </w:tc>
      </w:tr>
      <w:tr>
        <w:tblPrEx>
          <w:tblCellMar>
            <w:top w:w="0" w:type="dxa"/>
            <w:left w:w="108" w:type="dxa"/>
            <w:bottom w:w="0" w:type="dxa"/>
            <w:right w:w="108" w:type="dxa"/>
          </w:tblCellMar>
        </w:tblPrEx>
        <w:trPr>
          <w:gridAfter w:val="1"/>
          <w:wAfter w:w="10" w:type="dxa"/>
          <w:trHeight w:val="1667"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7</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Glaistas. </w:t>
            </w:r>
            <w:r>
              <w:rPr>
                <w:rFonts w:eastAsia="Times New Roman"/>
                <w:color w:val="000000"/>
                <w:sz w:val="22"/>
                <w:szCs w:val="22"/>
                <w:lang w:val="lt-LT" w:eastAsia="lt-LT"/>
              </w:rPr>
              <w:t>Gipsinis,miltelių formos glaistas ir plonasluoksnis tinkas, skirtas paviršiams glaistyti arba tinkuoti plonu sluoksniu, paviršiaus paruošimo lygis iki Q4. Tinka ypač dekoretyviems pavyršiams formuoti. Dengimas iki nulinio sluoksnio. Darbo laikas su paruoštu glaistu - 30 min. Glaisto paviršius gali būti apdorojamas po 40-60min.  Pakuotė - maišai po 25 kg ± 0,5%.</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Gipsinis glaistas Knauf Multi-Finish, skirtas gipso kartono plokštes glaistyti, pakuotė 25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Knauf</w:t>
            </w:r>
            <w:r>
              <w:rPr>
                <w:rFonts w:hint="default" w:eastAsia="SimSun" w:cs="Times New Roman"/>
                <w:i w:val="0"/>
                <w:color w:val="000000"/>
                <w:kern w:val="0"/>
                <w:sz w:val="22"/>
                <w:szCs w:val="22"/>
                <w:u w:val="none"/>
                <w:lang w:val="lt-LT"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Multi-Finish</w:t>
            </w:r>
            <w:r>
              <w:rPr>
                <w:rFonts w:hint="default" w:eastAsia="SimSun" w:cs="Times New Roman"/>
                <w:i w:val="0"/>
                <w:color w:val="000000"/>
                <w:kern w:val="0"/>
                <w:sz w:val="22"/>
                <w:szCs w:val="22"/>
                <w:u w:val="none"/>
                <w:lang w:val="lt-LT"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"https://www.knauf.lt/produktai-ir-sistemos/produktu-a-z/multi-finish.html"</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1500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0,72</w:t>
            </w:r>
          </w:p>
        </w:tc>
        <w:tc>
          <w:tcPr>
            <w:tcW w:w="100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0,87</w:t>
            </w:r>
          </w:p>
        </w:tc>
        <w:tc>
          <w:tcPr>
            <w:tcW w:w="132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b/>
                <w:bCs/>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1080,00</w:t>
            </w:r>
          </w:p>
        </w:tc>
      </w:tr>
      <w:tr>
        <w:tblPrEx>
          <w:tblCellMar>
            <w:top w:w="0" w:type="dxa"/>
            <w:left w:w="108" w:type="dxa"/>
            <w:bottom w:w="0" w:type="dxa"/>
            <w:right w:w="108" w:type="dxa"/>
          </w:tblCellMar>
        </w:tblPrEx>
        <w:trPr>
          <w:gridAfter w:val="1"/>
          <w:wAfter w:w="10" w:type="dxa"/>
          <w:trHeight w:val="1451"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8</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Glaistas.</w:t>
            </w:r>
            <w:r>
              <w:rPr>
                <w:rFonts w:eastAsia="Times New Roman"/>
                <w:color w:val="000000"/>
                <w:sz w:val="22"/>
                <w:szCs w:val="22"/>
                <w:lang w:val="lt-LT" w:eastAsia="lt-LT"/>
              </w:rPr>
              <w:t xml:space="preserve"> Gipsinis,miltelių formos glaistas skirtas gipso kartono plokščių siūlėms glaistyti kai paviršiaus paruošimo lygis Q1-Q2. Gipskartonio plokštėms klijuuoti plonasluoksniu būdu, bei pažeistoms vietoms užtaisyti. Geras sukibimas su pagrindu, greitai pasiekia pirminį glaisto stiprį, greitai džiūsta, darbo laikas apie 45 min.  Pakuotė - maišai po 25 kg ± 0,5%.</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Glaistas Knauf Fugenfuller, skirtas gipskartonio plokščių siūlėms užglaistyti su juostele, pakuotė 25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Knauf Fugenfuller</w:t>
            </w:r>
            <w:r>
              <w:rPr>
                <w:rFonts w:hint="default" w:eastAsia="SimSun" w:cs="Times New Roman"/>
                <w:i w:val="0"/>
                <w:color w:val="000000"/>
                <w:kern w:val="0"/>
                <w:sz w:val="22"/>
                <w:szCs w:val="22"/>
                <w:u w:val="none"/>
                <w:lang w:val="lt-LT"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"https://www.knauf.lt/produktai-ir-sistemos/produktu-a-z/fugenfueller-leicht.html?gclid=EAIaIQobChMIwYSVycWd7AIVB9GyCh3SzA2vEAAYASAAEgLRQ_D_BwE"</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3750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0,58</w:t>
            </w:r>
          </w:p>
        </w:tc>
        <w:tc>
          <w:tcPr>
            <w:tcW w:w="100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0,70</w:t>
            </w:r>
          </w:p>
        </w:tc>
        <w:tc>
          <w:tcPr>
            <w:tcW w:w="132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b/>
                <w:bCs/>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2175,00</w:t>
            </w:r>
          </w:p>
        </w:tc>
      </w:tr>
      <w:tr>
        <w:tblPrEx>
          <w:tblCellMar>
            <w:top w:w="0" w:type="dxa"/>
            <w:left w:w="108" w:type="dxa"/>
            <w:bottom w:w="0" w:type="dxa"/>
            <w:right w:w="108" w:type="dxa"/>
          </w:tblCellMar>
        </w:tblPrEx>
        <w:trPr>
          <w:gridAfter w:val="1"/>
          <w:wAfter w:w="10" w:type="dxa"/>
          <w:trHeight w:val="920"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9</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Glaistas. </w:t>
            </w:r>
            <w:r>
              <w:rPr>
                <w:rFonts w:eastAsia="Times New Roman"/>
                <w:color w:val="000000"/>
                <w:sz w:val="22"/>
                <w:szCs w:val="22"/>
                <w:lang w:val="lt-LT" w:eastAsia="lt-LT"/>
              </w:rPr>
              <w:t>Cementinis, smulkus, skirtas galutiniam sienų bei lubų glaistymui sausose, drėgnose ir šlapiose patalpose. Tinka išorės darbams. paviršių lyginimui, baltos spalvos,   pakuotė - maišai po 20 kg ±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Cementinis glaistas Weber VH, skirtas išorės tinkavimo darbams, sienoms ir luboms tinkuoti, vidaus tinkavimo darbams, baltos spalvos, pakuotė 20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Weber VH</w:t>
            </w:r>
            <w:r>
              <w:rPr>
                <w:rFonts w:hint="default" w:eastAsia="SimSun" w:cs="Times New Roman"/>
                <w:i w:val="0"/>
                <w:color w:val="000000"/>
                <w:kern w:val="0"/>
                <w:sz w:val="22"/>
                <w:szCs w:val="22"/>
                <w:u w:val="none"/>
                <w:lang w:val="lt-LT"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"https://www.lt.weber/glaistai-ir-tinkai/tinkavimo-sistemos/weber-vh"</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1000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0,60</w:t>
            </w:r>
          </w:p>
        </w:tc>
        <w:tc>
          <w:tcPr>
            <w:tcW w:w="100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0,73</w:t>
            </w:r>
          </w:p>
        </w:tc>
        <w:tc>
          <w:tcPr>
            <w:tcW w:w="132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b/>
                <w:bCs/>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600,00</w:t>
            </w:r>
          </w:p>
        </w:tc>
      </w:tr>
      <w:tr>
        <w:tblPrEx>
          <w:tblCellMar>
            <w:top w:w="0" w:type="dxa"/>
            <w:left w:w="108" w:type="dxa"/>
            <w:bottom w:w="0" w:type="dxa"/>
            <w:right w:w="108" w:type="dxa"/>
          </w:tblCellMar>
        </w:tblPrEx>
        <w:trPr>
          <w:gridAfter w:val="1"/>
          <w:wAfter w:w="10" w:type="dxa"/>
          <w:trHeight w:val="904"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10</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Glaistas. </w:t>
            </w:r>
            <w:r>
              <w:rPr>
                <w:rFonts w:eastAsia="Times New Roman"/>
                <w:color w:val="000000"/>
                <w:sz w:val="22"/>
                <w:szCs w:val="22"/>
                <w:lang w:val="lt-LT" w:eastAsia="lt-LT"/>
              </w:rPr>
              <w:t>Cementinis, smulkus, skirtas galutiniam sienų bei lubų glaistymui sausose, drėgnose ir šlapiose patalpose. Tinka išorės darbams. paviršių lyginimui,   pilkos spalvos, maišuose po 20 kg ± 0,5%.</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Cementinis glaistas Weber VH, skirtas išorės tinkavimo darbams, sienoms ir luboms tinkuoti, vidaus tinkavimo darbams, pilkos spalvos, pakuotė 20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Weber VH</w:t>
            </w:r>
            <w:r>
              <w:rPr>
                <w:rFonts w:hint="default" w:eastAsia="SimSun" w:cs="Times New Roman"/>
                <w:i w:val="0"/>
                <w:color w:val="000000"/>
                <w:kern w:val="0"/>
                <w:sz w:val="22"/>
                <w:szCs w:val="22"/>
                <w:u w:val="none"/>
                <w:lang w:val="lt-LT"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"https://www.lt.weber/glaistai-ir-tinkai/tinkavimo-sistemos/weber-vh"</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800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0,58</w:t>
            </w:r>
          </w:p>
        </w:tc>
        <w:tc>
          <w:tcPr>
            <w:tcW w:w="100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0,70</w:t>
            </w:r>
          </w:p>
        </w:tc>
        <w:tc>
          <w:tcPr>
            <w:tcW w:w="132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b/>
                <w:bCs/>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464,00</w:t>
            </w:r>
          </w:p>
        </w:tc>
      </w:tr>
      <w:tr>
        <w:tblPrEx>
          <w:tblCellMar>
            <w:top w:w="0" w:type="dxa"/>
            <w:left w:w="108" w:type="dxa"/>
            <w:bottom w:w="0" w:type="dxa"/>
            <w:right w:w="108" w:type="dxa"/>
          </w:tblCellMar>
        </w:tblPrEx>
        <w:trPr>
          <w:gridAfter w:val="1"/>
          <w:wAfter w:w="10" w:type="dxa"/>
          <w:trHeight w:val="698"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11</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Gipsas. </w:t>
            </w:r>
            <w:r>
              <w:rPr>
                <w:rFonts w:eastAsia="Times New Roman"/>
                <w:color w:val="000000"/>
                <w:sz w:val="22"/>
                <w:szCs w:val="22"/>
                <w:lang w:val="lt-LT" w:eastAsia="lt-LT"/>
              </w:rPr>
              <w:t>Skirtas įrengimo ir remonto darbams, elektros dėžutėms įstatyti ir fiksuoti, kampų apsaugos profiliams tvirtinti, vidaus darbams,  maišuose po 25 kg ±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Statybinis gipsas Knauf Baugips, skirtas įrengimo ir remonto darbams patalpų viduje, pakuotė 25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eastAsia="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Knauf Baugips</w:t>
            </w:r>
            <w:r>
              <w:rPr>
                <w:rFonts w:hint="default" w:eastAsia="SimSun" w:cs="Times New Roman"/>
                <w:i w:val="0"/>
                <w:color w:val="000000"/>
                <w:kern w:val="0"/>
                <w:sz w:val="22"/>
                <w:szCs w:val="22"/>
                <w:u w:val="none"/>
                <w:lang w:val="lt-LT" w:eastAsia="zh-CN" w:bidi="ar"/>
              </w:rPr>
              <w:t xml:space="preserve">, </w:t>
            </w:r>
            <w:r>
              <w:rPr>
                <w:rFonts w:hint="default" w:ascii="Times New Roman" w:hAnsi="Times New Roman" w:eastAsia="SimSun" w:cs="Times New Roman"/>
                <w:i w:val="0"/>
                <w:color w:val="000000"/>
                <w:kern w:val="0"/>
                <w:sz w:val="22"/>
                <w:szCs w:val="22"/>
                <w:u w:val="none"/>
                <w:lang w:val="en-US" w:eastAsia="zh-CN" w:bidi="ar"/>
              </w:rPr>
              <w:t>"https://www.knauf.lt/produktai-ir-sistemos/produktu-a-z/baugips.html?gclid=EAIaIQobChMIjMSGlMad7AIVFZiyCh0MuAvfEAAYASAAEgLD-fD_BwE"</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100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0,13</w:t>
            </w:r>
          </w:p>
        </w:tc>
        <w:tc>
          <w:tcPr>
            <w:tcW w:w="100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0,16</w:t>
            </w:r>
          </w:p>
        </w:tc>
        <w:tc>
          <w:tcPr>
            <w:tcW w:w="132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b/>
                <w:bCs/>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13,00</w:t>
            </w:r>
          </w:p>
        </w:tc>
      </w:tr>
      <w:tr>
        <w:tblPrEx>
          <w:tblCellMar>
            <w:top w:w="0" w:type="dxa"/>
            <w:left w:w="108" w:type="dxa"/>
            <w:bottom w:w="0" w:type="dxa"/>
            <w:right w:w="108" w:type="dxa"/>
          </w:tblCellMar>
        </w:tblPrEx>
        <w:trPr>
          <w:gridAfter w:val="1"/>
          <w:wAfter w:w="10" w:type="dxa"/>
          <w:trHeight w:val="354"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12</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rPr>
                <w:rFonts w:eastAsia="Times New Roman"/>
                <w:b/>
                <w:bCs/>
                <w:color w:val="000000"/>
                <w:sz w:val="22"/>
                <w:szCs w:val="22"/>
                <w:lang w:val="lt-LT" w:eastAsia="lt-LT"/>
              </w:rPr>
            </w:pPr>
            <w:r>
              <w:rPr>
                <w:rFonts w:eastAsia="Times New Roman"/>
                <w:b/>
                <w:bCs/>
                <w:color w:val="000000"/>
                <w:sz w:val="22"/>
                <w:szCs w:val="22"/>
                <w:lang w:val="lt-LT" w:eastAsia="lt-LT"/>
              </w:rPr>
              <w:t xml:space="preserve">Kreida. </w:t>
            </w:r>
            <w:r>
              <w:rPr>
                <w:rFonts w:eastAsia="Times New Roman"/>
                <w:color w:val="000000"/>
                <w:sz w:val="22"/>
                <w:szCs w:val="22"/>
                <w:lang w:val="lt-LT" w:eastAsia="lt-LT"/>
              </w:rPr>
              <w:t>Aukštos dispersijos, pakuotė – drėgmei atspariuose maišuose, po 32 kg ± 0,5 %.</w:t>
            </w:r>
          </w:p>
        </w:tc>
        <w:tc>
          <w:tcPr>
            <w:tcW w:w="2805" w:type="dxa"/>
            <w:gridSpan w:val="2"/>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both"/>
              <w:textAlignment w:val="bottom"/>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 xml:space="preserve">Dispersinė kreida, aukštos dispersijos, pakuotė - drėgmei atspariuose maišuose, pakuotė 35 kg </w:t>
            </w:r>
          </w:p>
        </w:tc>
        <w:tc>
          <w:tcPr>
            <w:tcW w:w="2826" w:type="dxa"/>
            <w:tcBorders>
              <w:top w:val="nil"/>
              <w:left w:val="nil"/>
              <w:bottom w:val="single" w:color="auto" w:sz="4" w:space="0"/>
              <w:right w:val="single" w:color="auto" w:sz="4" w:space="0"/>
            </w:tcBorders>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eastAsia="Times New Roman"/>
                <w:color w:val="000000"/>
                <w:sz w:val="22"/>
                <w:szCs w:val="22"/>
                <w:lang w:val="lt-LT" w:eastAsia="lt-LT"/>
              </w:rPr>
            </w:pPr>
            <w:r>
              <w:rPr>
                <w:rFonts w:hint="default" w:eastAsia="SimSun"/>
                <w:i w:val="0"/>
                <w:color w:val="000000"/>
                <w:kern w:val="0"/>
                <w:sz w:val="22"/>
                <w:szCs w:val="22"/>
                <w:u w:val="none"/>
                <w:lang w:val="lt-LT" w:eastAsia="zh-CN"/>
              </w:rPr>
              <w:t xml:space="preserve">Gamintojas </w:t>
            </w:r>
            <w:r>
              <w:rPr>
                <w:rFonts w:hint="default" w:ascii="Times New Roman" w:hAnsi="Times New Roman" w:eastAsia="SimSun"/>
                <w:i w:val="0"/>
                <w:color w:val="000000"/>
                <w:kern w:val="0"/>
                <w:sz w:val="22"/>
                <w:szCs w:val="22"/>
                <w:u w:val="none"/>
                <w:lang w:val="en-US" w:eastAsia="zh-CN"/>
              </w:rPr>
              <w:t>Krasnoselskstroimateryaly</w:t>
            </w:r>
            <w:r>
              <w:rPr>
                <w:rFonts w:hint="default" w:eastAsia="SimSun"/>
                <w:i w:val="0"/>
                <w:color w:val="000000"/>
                <w:kern w:val="0"/>
                <w:sz w:val="22"/>
                <w:szCs w:val="22"/>
                <w:u w:val="none"/>
                <w:lang w:val="lt-LT" w:eastAsia="zh-CN"/>
              </w:rPr>
              <w:t xml:space="preserve">, </w:t>
            </w:r>
            <w:r>
              <w:rPr>
                <w:rFonts w:hint="default" w:ascii="Times New Roman" w:hAnsi="Times New Roman" w:eastAsia="SimSun" w:cs="Times New Roman"/>
                <w:i w:val="0"/>
                <w:color w:val="000000"/>
                <w:kern w:val="0"/>
                <w:sz w:val="22"/>
                <w:szCs w:val="22"/>
                <w:u w:val="none"/>
                <w:lang w:val="en-US" w:eastAsia="zh-CN" w:bidi="ar"/>
              </w:rPr>
              <w:t>"http://cementby.com/ru/product/mel/2390/"</w:t>
            </w:r>
            <w:r>
              <w:rPr>
                <w:rFonts w:eastAsia="Times New Roman"/>
                <w:color w:val="000000"/>
                <w:sz w:val="22"/>
                <w:szCs w:val="22"/>
                <w:lang w:val="lt-LT" w:eastAsia="lt-LT"/>
              </w:rPr>
              <w:t> </w:t>
            </w:r>
          </w:p>
        </w:tc>
        <w:tc>
          <w:tcPr>
            <w:tcW w:w="1114"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150</w:t>
            </w:r>
          </w:p>
        </w:tc>
        <w:tc>
          <w:tcPr>
            <w:tcW w:w="681"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center"/>
              <w:rPr>
                <w:rFonts w:eastAsia="Times New Roman"/>
                <w:color w:val="000000"/>
                <w:sz w:val="22"/>
                <w:szCs w:val="22"/>
                <w:lang w:val="lt-LT" w:eastAsia="lt-LT"/>
              </w:rPr>
            </w:pPr>
            <w:r>
              <w:rPr>
                <w:rFonts w:eastAsia="Times New Roman"/>
                <w:color w:val="000000"/>
                <w:sz w:val="22"/>
                <w:szCs w:val="22"/>
                <w:lang w:val="lt-LT" w:eastAsia="lt-LT"/>
              </w:rPr>
              <w:t>kg.</w:t>
            </w:r>
          </w:p>
        </w:tc>
        <w:tc>
          <w:tcPr>
            <w:tcW w:w="999"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0,12</w:t>
            </w:r>
          </w:p>
        </w:tc>
        <w:tc>
          <w:tcPr>
            <w:tcW w:w="100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0,15</w:t>
            </w:r>
          </w:p>
        </w:tc>
        <w:tc>
          <w:tcPr>
            <w:tcW w:w="132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b/>
                <w:bCs/>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18,00</w:t>
            </w:r>
          </w:p>
        </w:tc>
      </w:tr>
      <w:tr>
        <w:tblPrEx>
          <w:tblCellMar>
            <w:top w:w="0" w:type="dxa"/>
            <w:left w:w="108" w:type="dxa"/>
            <w:bottom w:w="0" w:type="dxa"/>
            <w:right w:w="108" w:type="dxa"/>
          </w:tblCellMar>
        </w:tblPrEx>
        <w:trPr>
          <w:trHeight w:val="330"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 </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 </w:t>
            </w:r>
          </w:p>
        </w:tc>
        <w:tc>
          <w:tcPr>
            <w:tcW w:w="280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 </w:t>
            </w:r>
          </w:p>
        </w:tc>
        <w:tc>
          <w:tcPr>
            <w:tcW w:w="6633" w:type="dxa"/>
            <w:gridSpan w:val="10"/>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Preliminari suma 2 pirkimo daliai Eur be PVM</w:t>
            </w:r>
          </w:p>
        </w:tc>
        <w:tc>
          <w:tcPr>
            <w:tcW w:w="132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21111,80</w:t>
            </w:r>
          </w:p>
        </w:tc>
      </w:tr>
      <w:tr>
        <w:tblPrEx>
          <w:tblCellMar>
            <w:top w:w="0" w:type="dxa"/>
            <w:left w:w="108" w:type="dxa"/>
            <w:bottom w:w="0" w:type="dxa"/>
            <w:right w:w="108" w:type="dxa"/>
          </w:tblCellMar>
        </w:tblPrEx>
        <w:trPr>
          <w:trHeight w:val="345" w:hRule="atLeast"/>
        </w:trPr>
        <w:tc>
          <w:tcPr>
            <w:tcW w:w="644" w:type="dxa"/>
            <w:tcBorders>
              <w:top w:val="nil"/>
              <w:left w:val="single" w:color="auto" w:sz="4" w:space="0"/>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 </w:t>
            </w:r>
          </w:p>
        </w:tc>
        <w:tc>
          <w:tcPr>
            <w:tcW w:w="361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 </w:t>
            </w:r>
          </w:p>
        </w:tc>
        <w:tc>
          <w:tcPr>
            <w:tcW w:w="2805" w:type="dxa"/>
            <w:gridSpan w:val="2"/>
            <w:tcBorders>
              <w:top w:val="nil"/>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 </w:t>
            </w:r>
          </w:p>
        </w:tc>
        <w:tc>
          <w:tcPr>
            <w:tcW w:w="6633" w:type="dxa"/>
            <w:gridSpan w:val="10"/>
            <w:tcBorders>
              <w:top w:val="single" w:color="auto" w:sz="4" w:space="0"/>
              <w:left w:val="nil"/>
              <w:bottom w:val="single" w:color="auto" w:sz="4" w:space="0"/>
              <w:right w:val="single" w:color="auto" w:sz="4" w:space="0"/>
            </w:tcBorders>
            <w:shd w:val="clear" w:color="auto" w:fill="auto"/>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PVM ___% suma</w:t>
            </w:r>
          </w:p>
        </w:tc>
        <w:tc>
          <w:tcPr>
            <w:tcW w:w="132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4433,48</w:t>
            </w:r>
          </w:p>
        </w:tc>
      </w:tr>
      <w:tr>
        <w:tblPrEx>
          <w:tblCellMar>
            <w:top w:w="0" w:type="dxa"/>
            <w:left w:w="108" w:type="dxa"/>
            <w:bottom w:w="0" w:type="dxa"/>
            <w:right w:w="108" w:type="dxa"/>
          </w:tblCellMar>
        </w:tblPrEx>
        <w:trPr>
          <w:trHeight w:val="330" w:hRule="atLeast"/>
        </w:trPr>
        <w:tc>
          <w:tcPr>
            <w:tcW w:w="13697" w:type="dxa"/>
            <w:gridSpan w:val="15"/>
            <w:tcBorders>
              <w:top w:val="single" w:color="auto" w:sz="4" w:space="0"/>
              <w:left w:val="single" w:color="auto" w:sz="4" w:space="0"/>
              <w:bottom w:val="single" w:color="auto" w:sz="4" w:space="0"/>
              <w:right w:val="single" w:color="auto" w:sz="4" w:space="0"/>
            </w:tcBorders>
            <w:shd w:val="clear" w:color="auto" w:fill="auto"/>
            <w:noWrap/>
          </w:tcPr>
          <w:p>
            <w:pPr>
              <w:pBdr>
                <w:top w:val="none" w:color="auto" w:sz="0" w:space="0"/>
                <w:left w:val="none" w:color="auto" w:sz="0" w:space="0"/>
                <w:bottom w:val="none" w:color="auto" w:sz="0" w:space="0"/>
                <w:right w:val="none" w:color="auto" w:sz="0" w:space="0"/>
                <w:between w:val="none" w:color="auto" w:sz="0" w:space="0"/>
              </w:pBdr>
              <w:jc w:val="right"/>
              <w:rPr>
                <w:rFonts w:eastAsia="Times New Roman"/>
                <w:b/>
                <w:bCs/>
                <w:color w:val="000000"/>
                <w:sz w:val="22"/>
                <w:szCs w:val="22"/>
                <w:lang w:val="lt-LT" w:eastAsia="lt-LT"/>
              </w:rPr>
            </w:pPr>
            <w:r>
              <w:rPr>
                <w:rFonts w:eastAsia="Times New Roman"/>
                <w:b/>
                <w:bCs/>
                <w:color w:val="000000"/>
                <w:sz w:val="22"/>
                <w:szCs w:val="22"/>
                <w:lang w:val="lt-LT" w:eastAsia="lt-LT"/>
              </w:rPr>
              <w:t>Preliminari suma 2 pirkimo daliai Eur su PVM</w:t>
            </w:r>
          </w:p>
        </w:tc>
        <w:tc>
          <w:tcPr>
            <w:tcW w:w="1326"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Times New Roman" w:cs="Times New Roman"/>
                <w:color w:val="000000"/>
                <w:sz w:val="22"/>
                <w:szCs w:val="22"/>
                <w:lang w:val="lt-LT" w:eastAsia="lt-LT"/>
              </w:rPr>
            </w:pPr>
            <w:r>
              <w:rPr>
                <w:rFonts w:hint="default" w:ascii="Times New Roman" w:hAnsi="Times New Roman" w:eastAsia="SimSun" w:cs="Times New Roman"/>
                <w:i w:val="0"/>
                <w:color w:val="000000"/>
                <w:kern w:val="0"/>
                <w:sz w:val="22"/>
                <w:szCs w:val="22"/>
                <w:u w:val="none"/>
                <w:lang w:val="en-US" w:eastAsia="zh-CN" w:bidi="ar"/>
              </w:rPr>
              <w:t>25545,28</w:t>
            </w:r>
          </w:p>
        </w:tc>
      </w:tr>
      <w:tr>
        <w:tblPrEx>
          <w:tblCellMar>
            <w:top w:w="0" w:type="dxa"/>
            <w:left w:w="108" w:type="dxa"/>
            <w:bottom w:w="0" w:type="dxa"/>
            <w:right w:w="108" w:type="dxa"/>
          </w:tblCellMar>
        </w:tblPrEx>
        <w:trPr>
          <w:trHeight w:val="540" w:hRule="atLeast"/>
        </w:trPr>
        <w:tc>
          <w:tcPr>
            <w:tcW w:w="15023" w:type="dxa"/>
            <w:gridSpan w:val="18"/>
            <w:tcBorders>
              <w:top w:val="single" w:color="auto" w:sz="4" w:space="0"/>
              <w:left w:val="nil"/>
              <w:bottom w:val="nil"/>
              <w:right w:val="nil"/>
            </w:tcBorders>
            <w:shd w:val="clear" w:color="auto" w:fill="auto"/>
            <w:vAlign w:val="center"/>
          </w:tcPr>
          <w:p>
            <w:pPr>
              <w:pBdr>
                <w:top w:val="none" w:color="auto" w:sz="0" w:space="0"/>
                <w:left w:val="none" w:color="auto" w:sz="0" w:space="0"/>
                <w:bottom w:val="none" w:color="auto" w:sz="0" w:space="0"/>
                <w:right w:val="none" w:color="auto" w:sz="0" w:space="0"/>
                <w:between w:val="none" w:color="auto" w:sz="0" w:space="0"/>
              </w:pBdr>
              <w:jc w:val="both"/>
              <w:rPr>
                <w:rFonts w:eastAsia="Times New Roman"/>
                <w:iCs/>
                <w:color w:val="000000"/>
                <w:sz w:val="22"/>
                <w:szCs w:val="22"/>
                <w:lang w:val="lt-LT" w:eastAsia="lt-LT"/>
              </w:rPr>
            </w:pPr>
          </w:p>
          <w:p>
            <w:pPr>
              <w:pBdr>
                <w:top w:val="none" w:color="auto" w:sz="0" w:space="0"/>
                <w:left w:val="none" w:color="auto" w:sz="0" w:space="0"/>
                <w:bottom w:val="none" w:color="auto" w:sz="0" w:space="0"/>
                <w:right w:val="none" w:color="auto" w:sz="0" w:space="0"/>
                <w:between w:val="none" w:color="auto" w:sz="0" w:space="0"/>
              </w:pBdr>
              <w:jc w:val="both"/>
              <w:rPr>
                <w:rFonts w:eastAsia="Times New Roman"/>
                <w:iCs/>
                <w:color w:val="000000"/>
                <w:sz w:val="22"/>
                <w:szCs w:val="22"/>
                <w:lang w:val="lt-LT" w:eastAsia="lt-LT"/>
              </w:rPr>
            </w:pPr>
            <w:r>
              <w:rPr>
                <w:rFonts w:eastAsia="Times New Roman"/>
                <w:iCs/>
                <w:color w:val="000000"/>
                <w:sz w:val="22"/>
                <w:szCs w:val="22"/>
                <w:lang w:val="lt-LT" w:eastAsia="lt-LT"/>
              </w:rPr>
              <w:t xml:space="preserve">Visoms nurodytoms konkrečioms medžiagoms ir/ar konkretiems prekių pavadinimams, standartams taikoma „arba lygiavertis“. </w:t>
            </w:r>
          </w:p>
          <w:p>
            <w:pPr>
              <w:pBdr>
                <w:top w:val="none" w:color="auto" w:sz="0" w:space="0"/>
                <w:left w:val="none" w:color="auto" w:sz="0" w:space="0"/>
                <w:bottom w:val="none" w:color="auto" w:sz="0" w:space="0"/>
                <w:right w:val="none" w:color="auto" w:sz="0" w:space="0"/>
                <w:between w:val="none" w:color="auto" w:sz="0" w:space="0"/>
              </w:pBdr>
              <w:jc w:val="both"/>
              <w:rPr>
                <w:rFonts w:eastAsia="Times New Roman"/>
                <w:iCs/>
                <w:color w:val="000000"/>
                <w:sz w:val="22"/>
                <w:szCs w:val="22"/>
                <w:lang w:val="lt-LT" w:eastAsia="lt-LT"/>
              </w:rPr>
            </w:pPr>
            <w:r>
              <w:rPr>
                <w:rFonts w:eastAsia="Times New Roman"/>
                <w:iCs/>
                <w:color w:val="000000"/>
                <w:sz w:val="22"/>
                <w:szCs w:val="22"/>
                <w:lang w:val="lt-LT" w:eastAsia="lt-LT"/>
              </w:rPr>
              <w:t>Tiekėjas, siūlantis lygiavertę prekę privalo patikimomis priemonėmis įrodyti, kad siūloma prekė yra lygiavertė ir visiškai atitinka techninėje specifikacijoje keliamus reikalavimus.</w:t>
            </w:r>
          </w:p>
        </w:tc>
      </w:tr>
    </w:tbl>
    <w:p/>
    <w:sectPr>
      <w:pgSz w:w="16838" w:h="11906" w:orient="landscape"/>
      <w:pgMar w:top="1800" w:right="1440" w:bottom="180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Arial Unicode MS">
    <w:altName w:val="SimSun"/>
    <w:panose1 w:val="020B0604020202020204"/>
    <w:charset w:val="86"/>
    <w:family w:val="roman"/>
    <w:pitch w:val="default"/>
    <w:sig w:usb0="00000000" w:usb1="00000000" w:usb2="00000000" w:usb3="00000000" w:csb0="00000001"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470FED"/>
    <w:rsid w:val="468F5FC9"/>
    <w:rsid w:val="56470FED"/>
    <w:rsid w:val="644835F9"/>
    <w:rsid w:val="6F410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eastAsia="Arial Unicode MS" w:cs="Times New Roman"/>
      <w:sz w:val="24"/>
      <w:szCs w:val="24"/>
      <w:lang w:val="en-US" w:eastAsia="en-US" w:bidi="ar-SA"/>
    </w:rPr>
  </w:style>
  <w:style w:type="character" w:default="1" w:styleId="4">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819"/>
        <w:tab w:val="right" w:pos="9638"/>
      </w:tabs>
    </w:pPr>
  </w:style>
  <w:style w:type="paragraph" w:styleId="3">
    <w:name w:val="header"/>
    <w:basedOn w:val="1"/>
    <w:unhideWhenUsed/>
    <w:uiPriority w:val="0"/>
    <w:pPr>
      <w:tabs>
        <w:tab w:val="center" w:pos="4819"/>
        <w:tab w:val="right" w:pos="9638"/>
      </w:tabs>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2020-10-26T12:52:00Z</dcterms:created>
  <dc:creator>gaming4</dc:creator>
  <cp:lastModifiedBy>gaming4</cp:lastModifiedBy>
  <dcterms:modified xsi:type="dcterms:W3CDTF">2020-10-26T13:27:47Z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